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par value US$0.001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Beijing Investment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HONG KONG</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82,081,590.00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171,713,780.00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171,713,780.00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Exempt Reporting Advisor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00"/>
          </w:cols>
          <w:pgMar w:left="320" w:top="111" w:right="3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Oriental Education &amp; Technology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6 HAI DIAN ZHONG STREET, 9TH FLOOR, BEIJING, CHINA, 100080.</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Beijing Investment Limited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40"/>
        <w:spacing w:after="0" w:line="309" w:lineRule="auto"/>
        <w:rPr>
          <w:sz w:val="20"/>
          <w:szCs w:val="20"/>
          <w:color w:val="auto"/>
        </w:rPr>
      </w:pPr>
      <w:r>
        <w:rPr>
          <w:rFonts w:ascii="Times New Roman" w:cs="Times New Roman" w:eastAsia="Times New Roman" w:hAnsi="Times New Roman"/>
          <w:sz w:val="22"/>
          <w:szCs w:val="22"/>
          <w:color w:val="auto"/>
        </w:rPr>
        <w:t>16th Floor, On Building, 162 Queens Road, Central, Hong Kong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par value US$0.001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60" w:space="320"/>
            <w:col w:w="10220"/>
          </w:cols>
          <w:pgMar w:left="320" w:top="111" w:right="379" w:bottom="0" w:gutter="0" w:footer="0" w:header="0"/>
          <w:type w:val="continuous"/>
        </w:sectPr>
      </w:pPr>
    </w:p>
    <w:p>
      <w:pPr>
        <w:spacing w:after="0" w:line="33" w:lineRule="exact"/>
        <w:rPr>
          <w:sz w:val="20"/>
          <w:szCs w:val="20"/>
          <w:color w:val="auto"/>
        </w:rPr>
      </w:pPr>
    </w:p>
    <w:p>
      <w:pPr>
        <w:ind w:left="980" w:hanging="932"/>
        <w:spacing w:after="0" w:line="201" w:lineRule="auto"/>
        <w:tabs>
          <w:tab w:leader="none" w:pos="98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These 171,713,780 common shares represent 81,761,200 common shares of the Issuer and 8,995,258 ADSs (each representing ten underlying common shares) of the Issuer. There is no CUSIP number assigned to the common shares. CUSIP number 647581206 has been assigned to the American Depositary Shares ("ADS") of the Issuer, each ADS representing 10 common shares, which are quoted on the New York Stock Exchange under the symbol "EDU".</w:t>
      </w:r>
    </w:p>
    <w:p>
      <w:pPr>
        <w:spacing w:after="0" w:line="14" w:lineRule="exact"/>
        <w:rPr>
          <w:rFonts w:ascii="Times New Roman" w:cs="Times New Roman" w:eastAsia="Times New Roman" w:hAnsi="Times New Roman"/>
          <w:sz w:val="42"/>
          <w:szCs w:val="42"/>
          <w:color w:val="auto"/>
          <w:vertAlign w:val="subscript"/>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200"/>
          </w:cols>
          <w:pgMar w:left="320" w:top="111" w:right="379" w:bottom="0" w:gutter="0" w:footer="0" w:header="0"/>
          <w:type w:val="continuous"/>
        </w:sectPr>
      </w:pPr>
    </w:p>
    <w:bookmarkStart w:id="2" w:name="page3"/>
    <w:bookmarkEnd w:id="2"/>
    <w:p>
      <w:pPr>
        <w:ind w:left="940" w:right="60"/>
        <w:spacing w:after="0" w:line="244" w:lineRule="auto"/>
        <w:rPr>
          <w:sz w:val="20"/>
          <w:szCs w:val="20"/>
          <w:color w:val="auto"/>
        </w:rPr>
      </w:pPr>
      <w:r>
        <w:rPr>
          <w:rFonts w:ascii="Times New Roman" w:cs="Times New Roman" w:eastAsia="Times New Roman" w:hAnsi="Times New Roman"/>
          <w:sz w:val="22"/>
          <w:szCs w:val="22"/>
          <w:color w:val="auto"/>
        </w:rPr>
        <w:t>10.87%. The ownership is calculated based on 1,580,288,613 common shares of the Issuer outstanding as of May 31, 2025, according to the Form 20-F filed by the Issuer with the Securities and Exchange Commission (the "SEC") on September 25, 2025. %</w:t>
      </w:r>
    </w:p>
    <w:p>
      <w:pPr>
        <w:spacing w:after="0" w:line="12"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These 82,081,590 ordinary shares represent 39,864,800 common shares of the Issuer and 4,221,679 ADSs (each representing ten underlying common shares) of the Issuer.</w:t>
      </w:r>
    </w:p>
    <w:p>
      <w:pPr>
        <w:spacing w:after="0" w:line="239" w:lineRule="exact"/>
        <w:rPr>
          <w:sz w:val="20"/>
          <w:szCs w:val="20"/>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0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171,713,780. Same as Item 4.(a)</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20"/>
            <w:col w:w="10200"/>
          </w:cols>
          <w:pgMar w:left="360" w:top="111" w:right="399" w:bottom="144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First Beijing Investment Ltd</w:t>
      </w:r>
    </w:p>
    <w:p>
      <w:pPr>
        <w:spacing w:after="0" w:line="152"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LI JINGWEI</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2026-05-13T06:03:32Z</dcterms:created>
  <dcterms:modified xsi:type="dcterms:W3CDTF">2026-05-13T06:03:32Z</dcterms:modified>
</cp:coreProperties>
</file>