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0001968269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New Oriental Education &amp; Technology Group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001-32993</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NO. 6 HAI DIAN ZHONG STREET, 9TH FLOOR</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BEIJING</w:t>
      </w:r>
    </w:p>
    <w:p>
      <w:pPr>
        <w:spacing w:after="0" w:line="230" w:lineRule="auto"/>
        <w:rPr>
          <w:sz w:val="20"/>
          <w:szCs w:val="20"/>
          <w:color w:val="auto"/>
        </w:rPr>
      </w:pPr>
      <w:r>
        <w:rPr>
          <w:rFonts w:ascii="Arial" w:cs="Arial" w:eastAsia="Arial" w:hAnsi="Arial"/>
          <w:sz w:val="22"/>
          <w:szCs w:val="22"/>
          <w:color w:val="auto"/>
        </w:rPr>
        <w:t>CHINA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100080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(86-10) 6260-5566</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Yu Michael Minhong</w:t>
      </w:r>
    </w:p>
    <w:p>
      <w:pPr>
        <w:spacing w:after="0" w:line="44" w:lineRule="exact"/>
        <w:rPr>
          <w:sz w:val="24"/>
          <w:szCs w:val="24"/>
          <w:color w:val="auto"/>
        </w:rPr>
      </w:pPr>
    </w:p>
    <w:p>
      <w:pPr>
        <w:sectPr>
          <w:pgSz w:w="11900" w:h="16838" w:orient="portrait"/>
          <w:cols w:equalWidth="0" w:num="2">
            <w:col w:w="5740" w:space="500"/>
            <w:col w:w="500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20" w:type="dxa"/>
            <w:vAlign w:val="bottom"/>
          </w:tcPr>
          <w:p>
            <w:pPr>
              <w:ind w:left="240"/>
              <w:spacing w:after="0"/>
              <w:rPr>
                <w:sz w:val="20"/>
                <w:szCs w:val="20"/>
                <w:color w:val="auto"/>
              </w:rPr>
            </w:pPr>
            <w:r>
              <w:rPr>
                <w:rFonts w:ascii="Arial" w:cs="Arial" w:eastAsia="Arial" w:hAnsi="Arial"/>
                <w:sz w:val="22"/>
                <w:szCs w:val="22"/>
                <w:b w:val="1"/>
                <w:bCs w:val="1"/>
                <w:color w:val="auto"/>
                <w:w w:val="91"/>
              </w:rPr>
              <w:t>Name and Address of</w:t>
            </w:r>
          </w:p>
        </w:tc>
      </w:tr>
      <w:tr>
        <w:trPr>
          <w:trHeight w:val="280"/>
        </w:trPr>
        <w:tc>
          <w:tcPr>
            <w:tcW w:w="240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20" w:type="dxa"/>
            <w:vAlign w:val="bottom"/>
          </w:tcPr>
          <w:p>
            <w:pPr>
              <w:ind w:left="720"/>
              <w:spacing w:after="0"/>
              <w:rPr>
                <w:sz w:val="20"/>
                <w:szCs w:val="20"/>
                <w:color w:val="auto"/>
              </w:rPr>
            </w:pPr>
            <w:r>
              <w:rPr>
                <w:rFonts w:ascii="Arial" w:cs="Arial" w:eastAsia="Arial" w:hAnsi="Arial"/>
                <w:sz w:val="22"/>
                <w:szCs w:val="22"/>
                <w:b w:val="1"/>
                <w:bCs w:val="1"/>
                <w:color w:val="auto"/>
              </w:rPr>
              <w:t>the Broker</w:t>
            </w:r>
          </w:p>
        </w:tc>
      </w:tr>
      <w:tr>
        <w:trPr>
          <w:trHeight w:val="509"/>
        </w:trPr>
        <w:tc>
          <w:tcPr>
            <w:tcW w:w="2400" w:type="dxa"/>
            <w:vAlign w:val="bottom"/>
          </w:tcPr>
          <w:p>
            <w:pPr>
              <w:spacing w:after="0"/>
              <w:rPr>
                <w:sz w:val="24"/>
                <w:szCs w:val="24"/>
                <w:color w:val="auto"/>
              </w:rPr>
            </w:pPr>
          </w:p>
        </w:tc>
        <w:tc>
          <w:tcPr>
            <w:tcW w:w="2320" w:type="dxa"/>
            <w:vAlign w:val="bottom"/>
          </w:tcPr>
          <w:p>
            <w:pPr>
              <w:ind w:left="80"/>
              <w:spacing w:after="0"/>
              <w:rPr>
                <w:sz w:val="20"/>
                <w:szCs w:val="20"/>
                <w:color w:val="auto"/>
              </w:rPr>
            </w:pPr>
            <w:r>
              <w:rPr>
                <w:rFonts w:ascii="Arial" w:cs="Arial" w:eastAsia="Arial" w:hAnsi="Arial"/>
                <w:sz w:val="22"/>
                <w:szCs w:val="22"/>
                <w:color w:val="auto"/>
              </w:rPr>
              <w:t>The Core Securities</w:t>
            </w:r>
          </w:p>
        </w:tc>
      </w:tr>
      <w:tr>
        <w:trPr>
          <w:trHeight w:val="243"/>
        </w:trPr>
        <w:tc>
          <w:tcPr>
            <w:tcW w:w="2400" w:type="dxa"/>
            <w:vAlign w:val="bottom"/>
          </w:tcPr>
          <w:p>
            <w:pPr>
              <w:spacing w:after="0"/>
              <w:rPr>
                <w:sz w:val="21"/>
                <w:szCs w:val="21"/>
                <w:color w:val="auto"/>
              </w:rPr>
            </w:pPr>
          </w:p>
        </w:tc>
        <w:tc>
          <w:tcPr>
            <w:tcW w:w="2320" w:type="dxa"/>
            <w:vAlign w:val="bottom"/>
          </w:tcPr>
          <w:p>
            <w:pPr>
              <w:ind w:left="80"/>
              <w:spacing w:after="0" w:line="243" w:lineRule="exact"/>
              <w:rPr>
                <w:sz w:val="20"/>
                <w:szCs w:val="20"/>
                <w:color w:val="auto"/>
              </w:rPr>
            </w:pPr>
            <w:r>
              <w:rPr>
                <w:rFonts w:ascii="Arial" w:cs="Arial" w:eastAsia="Arial" w:hAnsi="Arial"/>
                <w:sz w:val="22"/>
                <w:szCs w:val="22"/>
                <w:color w:val="auto"/>
              </w:rPr>
              <w:t>Company Limited</w:t>
            </w:r>
          </w:p>
        </w:tc>
      </w:tr>
      <w:tr>
        <w:trPr>
          <w:trHeight w:val="243"/>
        </w:trPr>
        <w:tc>
          <w:tcPr>
            <w:tcW w:w="2400" w:type="dxa"/>
            <w:vAlign w:val="bottom"/>
          </w:tcPr>
          <w:p>
            <w:pPr>
              <w:spacing w:after="0" w:line="243" w:lineRule="exact"/>
              <w:rPr>
                <w:sz w:val="20"/>
                <w:szCs w:val="20"/>
                <w:color w:val="auto"/>
              </w:rPr>
            </w:pPr>
            <w:r>
              <w:rPr>
                <w:rFonts w:ascii="Arial" w:cs="Arial" w:eastAsia="Arial" w:hAnsi="Arial"/>
                <w:sz w:val="22"/>
                <w:szCs w:val="22"/>
                <w:color w:val="auto"/>
                <w:w w:val="90"/>
              </w:rPr>
              <w:t>ADS(each ADS represents</w:t>
            </w:r>
          </w:p>
        </w:tc>
        <w:tc>
          <w:tcPr>
            <w:tcW w:w="2320" w:type="dxa"/>
            <w:vAlign w:val="bottom"/>
          </w:tcPr>
          <w:p>
            <w:pPr>
              <w:ind w:left="80"/>
              <w:spacing w:after="0" w:line="243" w:lineRule="exact"/>
              <w:rPr>
                <w:sz w:val="20"/>
                <w:szCs w:val="20"/>
                <w:color w:val="auto"/>
              </w:rPr>
            </w:pPr>
            <w:r>
              <w:rPr>
                <w:rFonts w:ascii="Arial" w:cs="Arial" w:eastAsia="Arial" w:hAnsi="Arial"/>
                <w:sz w:val="22"/>
                <w:szCs w:val="22"/>
                <w:color w:val="auto"/>
              </w:rPr>
              <w:t>Suite C,20/F,</w:t>
            </w:r>
          </w:p>
        </w:tc>
      </w:tr>
      <w:tr>
        <w:trPr>
          <w:trHeight w:val="243"/>
        </w:trPr>
        <w:tc>
          <w:tcPr>
            <w:tcW w:w="2400" w:type="dxa"/>
            <w:vAlign w:val="bottom"/>
          </w:tcPr>
          <w:p>
            <w:pPr>
              <w:spacing w:after="0" w:line="243" w:lineRule="exact"/>
              <w:rPr>
                <w:sz w:val="20"/>
                <w:szCs w:val="20"/>
                <w:color w:val="auto"/>
              </w:rPr>
            </w:pPr>
            <w:r>
              <w:rPr>
                <w:rFonts w:ascii="Arial" w:cs="Arial" w:eastAsia="Arial" w:hAnsi="Arial"/>
                <w:sz w:val="22"/>
                <w:szCs w:val="22"/>
                <w:color w:val="auto"/>
              </w:rPr>
              <w:t>10 common shares)</w:t>
            </w:r>
          </w:p>
        </w:tc>
        <w:tc>
          <w:tcPr>
            <w:tcW w:w="2320" w:type="dxa"/>
            <w:vAlign w:val="bottom"/>
          </w:tcPr>
          <w:p>
            <w:pPr>
              <w:ind w:left="80"/>
              <w:spacing w:after="0" w:line="243" w:lineRule="exact"/>
              <w:rPr>
                <w:sz w:val="20"/>
                <w:szCs w:val="20"/>
                <w:color w:val="auto"/>
              </w:rPr>
            </w:pPr>
            <w:r>
              <w:rPr>
                <w:rFonts w:ascii="Arial" w:cs="Arial" w:eastAsia="Arial" w:hAnsi="Arial"/>
                <w:sz w:val="22"/>
                <w:szCs w:val="22"/>
                <w:color w:val="auto"/>
              </w:rPr>
              <w:t>4-4A Des Voeux Road</w:t>
            </w:r>
          </w:p>
        </w:tc>
      </w:tr>
      <w:tr>
        <w:trPr>
          <w:trHeight w:val="243"/>
        </w:trPr>
        <w:tc>
          <w:tcPr>
            <w:tcW w:w="2400" w:type="dxa"/>
            <w:vAlign w:val="bottom"/>
          </w:tcPr>
          <w:p>
            <w:pPr>
              <w:spacing w:after="0"/>
              <w:rPr>
                <w:sz w:val="21"/>
                <w:szCs w:val="21"/>
                <w:color w:val="auto"/>
              </w:rPr>
            </w:pPr>
          </w:p>
        </w:tc>
        <w:tc>
          <w:tcPr>
            <w:tcW w:w="2320" w:type="dxa"/>
            <w:vAlign w:val="bottom"/>
          </w:tcPr>
          <w:p>
            <w:pPr>
              <w:ind w:left="80"/>
              <w:spacing w:after="0" w:line="243" w:lineRule="exact"/>
              <w:rPr>
                <w:sz w:val="20"/>
                <w:szCs w:val="20"/>
                <w:color w:val="auto"/>
              </w:rPr>
            </w:pPr>
            <w:r>
              <w:rPr>
                <w:rFonts w:ascii="Arial" w:cs="Arial" w:eastAsia="Arial" w:hAnsi="Arial"/>
                <w:sz w:val="22"/>
                <w:szCs w:val="22"/>
                <w:color w:val="auto"/>
              </w:rPr>
              <w:t>Central, Central</w:t>
            </w:r>
          </w:p>
        </w:tc>
      </w:tr>
      <w:tr>
        <w:trPr>
          <w:trHeight w:val="274"/>
        </w:trPr>
        <w:tc>
          <w:tcPr>
            <w:tcW w:w="2400" w:type="dxa"/>
            <w:vAlign w:val="bottom"/>
          </w:tcPr>
          <w:p>
            <w:pPr>
              <w:spacing w:after="0"/>
              <w:rPr>
                <w:sz w:val="23"/>
                <w:szCs w:val="23"/>
                <w:color w:val="auto"/>
              </w:rPr>
            </w:pPr>
          </w:p>
        </w:tc>
        <w:tc>
          <w:tcPr>
            <w:tcW w:w="2320" w:type="dxa"/>
            <w:vAlign w:val="bottom"/>
          </w:tcPr>
          <w:p>
            <w:pPr>
              <w:ind w:left="80"/>
              <w:spacing w:after="0"/>
              <w:rPr>
                <w:sz w:val="20"/>
                <w:szCs w:val="20"/>
                <w:color w:val="auto"/>
              </w:rPr>
            </w:pPr>
            <w:r>
              <w:rPr>
                <w:rFonts w:ascii="Arial" w:cs="Arial" w:eastAsia="Arial" w:hAnsi="Arial"/>
                <w:sz w:val="22"/>
                <w:szCs w:val="22"/>
                <w:color w:val="auto"/>
                <w:w w:val="94"/>
              </w:rPr>
              <w:t>Hong Kong  K3  999077</w:t>
            </w: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110000</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5485700.00</w:t>
            </w:r>
          </w:p>
        </w:tc>
        <w:tc>
          <w:tcPr>
            <w:tcW w:w="1320" w:type="dxa"/>
            <w:vAlign w:val="bottom"/>
          </w:tcPr>
          <w:p>
            <w:pPr>
              <w:jc w:val="right"/>
              <w:ind w:right="12"/>
              <w:spacing w:after="0"/>
              <w:rPr>
                <w:sz w:val="20"/>
                <w:szCs w:val="20"/>
                <w:color w:val="auto"/>
              </w:rPr>
            </w:pPr>
            <w:r>
              <w:rPr>
                <w:rFonts w:ascii="Arial" w:cs="Arial" w:eastAsia="Arial" w:hAnsi="Arial"/>
                <w:sz w:val="22"/>
                <w:szCs w:val="22"/>
                <w:color w:val="auto"/>
                <w:w w:val="96"/>
              </w:rPr>
              <w:t>1696966183</w:t>
            </w:r>
          </w:p>
        </w:tc>
        <w:tc>
          <w:tcPr>
            <w:tcW w:w="1280" w:type="dxa"/>
            <w:vAlign w:val="bottom"/>
          </w:tcPr>
          <w:p>
            <w:pPr>
              <w:ind w:left="40"/>
              <w:spacing w:after="0"/>
              <w:rPr>
                <w:sz w:val="20"/>
                <w:szCs w:val="20"/>
                <w:color w:val="auto"/>
              </w:rPr>
            </w:pPr>
            <w:r>
              <w:rPr>
                <w:rFonts w:ascii="Arial" w:cs="Arial" w:eastAsia="Arial" w:hAnsi="Arial"/>
                <w:sz w:val="22"/>
                <w:szCs w:val="22"/>
                <w:color w:val="auto"/>
              </w:rPr>
              <w:t>07/27/2023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760" w:space="1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0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you</w:t>
            </w:r>
          </w:p>
        </w:tc>
        <w:tc>
          <w:tcPr>
            <w:tcW w:w="1440" w:type="dxa"/>
            <w:vAlign w:val="bottom"/>
          </w:tcPr>
          <w:p>
            <w:pPr>
              <w:jc w:val="center"/>
              <w:ind w:left="1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4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0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44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9"/>
        </w:trPr>
        <w:tc>
          <w:tcPr>
            <w:tcW w:w="1460" w:type="dxa"/>
            <w:vAlign w:val="bottom"/>
          </w:tcPr>
          <w:p>
            <w:pPr>
              <w:spacing w:after="0"/>
              <w:rPr>
                <w:sz w:val="20"/>
                <w:szCs w:val="20"/>
                <w:color w:val="auto"/>
              </w:rPr>
            </w:pPr>
            <w:r>
              <w:rPr>
                <w:rFonts w:ascii="Arial" w:cs="Arial" w:eastAsia="Arial" w:hAnsi="Arial"/>
                <w:sz w:val="22"/>
                <w:szCs w:val="22"/>
                <w:color w:val="auto"/>
                <w:w w:val="94"/>
              </w:rPr>
              <w:t>ADS(each ADS</w:t>
            </w:r>
          </w:p>
        </w:tc>
        <w:tc>
          <w:tcPr>
            <w:tcW w:w="1060" w:type="dxa"/>
            <w:vAlign w:val="bottom"/>
          </w:tcPr>
          <w:p>
            <w:pPr>
              <w:spacing w:after="0"/>
              <w:rPr>
                <w:sz w:val="24"/>
                <w:szCs w:val="24"/>
                <w:color w:val="auto"/>
              </w:rPr>
            </w:pPr>
          </w:p>
        </w:tc>
        <w:tc>
          <w:tcPr>
            <w:tcW w:w="1440" w:type="dxa"/>
            <w:vAlign w:val="bottom"/>
            <w:vMerge w:val="restart"/>
          </w:tcPr>
          <w:p>
            <w:pPr>
              <w:ind w:left="20"/>
              <w:spacing w:after="0"/>
              <w:rPr>
                <w:sz w:val="20"/>
                <w:szCs w:val="20"/>
                <w:color w:val="auto"/>
              </w:rPr>
            </w:pPr>
            <w:r>
              <w:rPr>
                <w:rFonts w:ascii="Arial" w:cs="Arial" w:eastAsia="Arial" w:hAnsi="Arial"/>
                <w:sz w:val="22"/>
                <w:szCs w:val="22"/>
                <w:color w:val="auto"/>
                <w:w w:val="88"/>
              </w:rPr>
              <w:t>Employee Stock</w:t>
            </w:r>
          </w:p>
        </w:tc>
        <w:tc>
          <w:tcPr>
            <w:tcW w:w="0" w:type="dxa"/>
            <w:vAlign w:val="bottom"/>
          </w:tcPr>
          <w:p>
            <w:pPr>
              <w:spacing w:after="0"/>
              <w:rPr>
                <w:sz w:val="1"/>
                <w:szCs w:val="1"/>
                <w:color w:val="auto"/>
              </w:rPr>
            </w:pPr>
          </w:p>
        </w:tc>
      </w:tr>
      <w:tr>
        <w:trPr>
          <w:trHeight w:val="122"/>
        </w:trPr>
        <w:tc>
          <w:tcPr>
            <w:tcW w:w="1460" w:type="dxa"/>
            <w:vAlign w:val="bottom"/>
            <w:vMerge w:val="restart"/>
          </w:tcPr>
          <w:p>
            <w:pPr>
              <w:spacing w:after="0"/>
              <w:rPr>
                <w:sz w:val="20"/>
                <w:szCs w:val="20"/>
                <w:color w:val="auto"/>
              </w:rPr>
            </w:pPr>
            <w:r>
              <w:rPr>
                <w:rFonts w:ascii="Arial" w:cs="Arial" w:eastAsia="Arial" w:hAnsi="Arial"/>
                <w:sz w:val="22"/>
                <w:szCs w:val="22"/>
                <w:color w:val="auto"/>
              </w:rPr>
              <w:t>represents 10</w:t>
            </w:r>
          </w:p>
        </w:tc>
        <w:tc>
          <w:tcPr>
            <w:tcW w:w="1060" w:type="dxa"/>
            <w:vAlign w:val="bottom"/>
            <w:vMerge w:val="restart"/>
          </w:tcPr>
          <w:p>
            <w:pPr>
              <w:jc w:val="center"/>
              <w:spacing w:after="0"/>
              <w:rPr>
                <w:sz w:val="20"/>
                <w:szCs w:val="20"/>
                <w:color w:val="auto"/>
              </w:rPr>
            </w:pPr>
            <w:r>
              <w:rPr>
                <w:rFonts w:ascii="Arial" w:cs="Arial" w:eastAsia="Arial" w:hAnsi="Arial"/>
                <w:sz w:val="22"/>
                <w:szCs w:val="22"/>
                <w:color w:val="auto"/>
                <w:w w:val="88"/>
              </w:rPr>
              <w:t>07/14/2023</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4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440" w:type="dxa"/>
            <w:vAlign w:val="bottom"/>
          </w:tcPr>
          <w:p>
            <w:pPr>
              <w:ind w:left="20"/>
              <w:spacing w:after="0" w:line="210" w:lineRule="exact"/>
              <w:rPr>
                <w:sz w:val="20"/>
                <w:szCs w:val="20"/>
                <w:color w:val="auto"/>
              </w:rPr>
            </w:pPr>
            <w:r>
              <w:rPr>
                <w:rFonts w:ascii="Arial" w:cs="Arial" w:eastAsia="Arial" w:hAnsi="Arial"/>
                <w:sz w:val="22"/>
                <w:szCs w:val="22"/>
                <w:color w:val="auto"/>
                <w:w w:val="90"/>
              </w:rPr>
              <w:t>Option Exercise</w:t>
            </w: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87"/>
              </w:rPr>
              <w:t>common shares)</w:t>
            </w:r>
          </w:p>
        </w:tc>
        <w:tc>
          <w:tcPr>
            <w:tcW w:w="10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00" w:type="dxa"/>
            <w:vAlign w:val="bottom"/>
          </w:tcPr>
          <w:p>
            <w:pPr>
              <w:spacing w:after="0"/>
              <w:rPr>
                <w:sz w:val="20"/>
                <w:szCs w:val="20"/>
                <w:color w:val="auto"/>
              </w:rPr>
            </w:pPr>
            <w:r>
              <w:rPr>
                <w:rFonts w:ascii="Arial" w:cs="Arial" w:eastAsia="Arial" w:hAnsi="Arial"/>
                <w:sz w:val="22"/>
                <w:szCs w:val="22"/>
                <w:color w:val="auto"/>
              </w:rPr>
              <w:t>New Oriental</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Arial" w:cs="Arial" w:eastAsia="Arial" w:hAnsi="Arial"/>
                <w:sz w:val="22"/>
                <w:szCs w:val="22"/>
                <w:color w:val="auto"/>
              </w:rPr>
              <w:t>Education &amp;</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vMerge w:val="restart"/>
          </w:tcPr>
          <w:p>
            <w:pPr>
              <w:jc w:val="right"/>
              <w:ind w:right="372"/>
              <w:spacing w:after="0"/>
              <w:rPr>
                <w:sz w:val="20"/>
                <w:szCs w:val="20"/>
                <w:color w:val="auto"/>
              </w:rPr>
            </w:pPr>
            <w:r>
              <w:rPr>
                <w:rFonts w:ascii="Arial" w:cs="Arial" w:eastAsia="Arial" w:hAnsi="Arial"/>
                <w:sz w:val="22"/>
                <w:szCs w:val="22"/>
                <w:color w:val="auto"/>
                <w:w w:val="87"/>
              </w:rPr>
              <w:t>110000</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line="243" w:lineRule="exact"/>
              <w:rPr>
                <w:sz w:val="20"/>
                <w:szCs w:val="20"/>
                <w:color w:val="auto"/>
              </w:rPr>
            </w:pPr>
            <w:r>
              <w:rPr>
                <w:rFonts w:ascii="Arial" w:cs="Arial" w:eastAsia="Arial" w:hAnsi="Arial"/>
                <w:sz w:val="22"/>
                <w:szCs w:val="22"/>
                <w:color w:val="auto"/>
              </w:rPr>
              <w:t>Technology</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4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Group Inc.</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-374650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4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07/14/2023 RSU VEST</w:t>
      </w:r>
    </w:p>
    <w:p>
      <w:pPr>
        <w:spacing w:after="0" w:line="585" w:lineRule="exact"/>
        <w:rPr>
          <w:sz w:val="20"/>
          <w:szCs w:val="20"/>
          <w:color w:val="auto"/>
        </w:rPr>
      </w:pPr>
    </w:p>
    <w:p>
      <w:pPr>
        <w:sectPr>
          <w:pgSz w:w="11900" w:h="16838" w:orient="portrait"/>
          <w:cols w:equalWidth="0" w:num="3">
            <w:col w:w="4000" w:space="280"/>
            <w:col w:w="4080" w:space="180"/>
            <w:col w:w="270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Number of Shares or Other Unites to Be Sold &amp; Amount of Securities Acquired are 110,000 ADSs, and the ADSs</w:t>
      </w:r>
    </w:p>
    <w:p>
      <w:pPr>
        <w:spacing w:after="0" w:line="4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9"/>
          <w:szCs w:val="19"/>
          <w:color w:val="auto"/>
        </w:rPr>
        <w:t>Remarks</w:t>
      </w:r>
      <w:r>
        <w:rPr>
          <w:sz w:val="20"/>
          <w:szCs w:val="20"/>
          <w:color w:val="auto"/>
        </w:rPr>
        <w:tab/>
      </w:r>
      <w:r>
        <w:rPr>
          <w:rFonts w:ascii="Arial" w:cs="Arial" w:eastAsia="Arial" w:hAnsi="Arial"/>
          <w:sz w:val="19"/>
          <w:szCs w:val="19"/>
          <w:color w:val="auto"/>
        </w:rPr>
        <w:t>are expected to be sold between 2023/7/27 and 2023/8/31. Number of Shares or Other Units Outstanding is</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1,696,966,183 common shares.</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Date of</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07/27/2023</w:t>
            </w:r>
          </w:p>
        </w:tc>
        <w:tc>
          <w:tcPr>
            <w:tcW w:w="0" w:type="dxa"/>
            <w:vAlign w:val="bottom"/>
          </w:tcPr>
          <w:p>
            <w:pPr>
              <w:spacing w:after="0"/>
              <w:rPr>
                <w:sz w:val="1"/>
                <w:szCs w:val="1"/>
                <w:color w:val="auto"/>
              </w:rPr>
            </w:pPr>
          </w:p>
        </w:tc>
      </w:tr>
      <w:tr>
        <w:trPr>
          <w:trHeight w:val="153"/>
        </w:trPr>
        <w:tc>
          <w:tcPr>
            <w:tcW w:w="960" w:type="dxa"/>
            <w:vAlign w:val="bottom"/>
            <w:vMerge w:val="restart"/>
          </w:tcPr>
          <w:p>
            <w:pPr>
              <w:spacing w:after="0"/>
              <w:rPr>
                <w:sz w:val="20"/>
                <w:szCs w:val="20"/>
                <w:color w:val="auto"/>
              </w:rPr>
            </w:pPr>
            <w:r>
              <w:rPr>
                <w:rFonts w:ascii="Arial" w:cs="Arial" w:eastAsia="Arial" w:hAnsi="Arial"/>
                <w:sz w:val="22"/>
                <w:szCs w:val="22"/>
                <w:color w:val="auto"/>
              </w:rPr>
              <w:t>Notice</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/S/Yu Michael Minhong</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2023-07-27T05:35:48Z</dcterms:created>
  <dcterms:modified xsi:type="dcterms:W3CDTF">2023-07-27T05:35:48Z</dcterms:modified>
</cp:coreProperties>
</file>