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153d6k.htm"/>
      <w:bookmarkStart w:id="1" w:name="ksd14815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NEW ORIENTAL EDUCATION &amp; TECHNOLOGY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240" w:after="0"/>
        <w:jc w:val="left"/>
        <w:rPr/>
      </w:pPr>
      <w:hyperlink w:anchor="d148153dex991.htm">
        <w:r>
          <w:rPr>
            <w:rStyle w:val="InternetLink"/>
            <w:rFonts w:ascii="Times New Roman" w:hAnsi="Times New Roman"/>
            <w:sz w:val="20"/>
          </w:rPr>
          <w:t xml:space="preserve">Exhibit 99.1 – Press Release  – New Oriental Announces Results for the Fourth Fiscal Quarter and the Fiscal Year Ended May 31, 2026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 Oriental Education &amp; Technology 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Zhihui Yang</w:t>
            </w:r>
          </w:p>
        </w:tc>
      </w:tr>
      <w:tr>
        <w:trPr/>
        <w:tc>
          <w:tcPr>
            <w:tcW w:w="4082" w:type="dxa"/>
            <w:gridSpan w:val="3"/>
            <w:tcBorders/>
          </w:tcPr>
          <w:p>
            <w:pPr>
              <w:pStyle w:val="TableContents"/>
              <w:bidi w:val="0"/>
              <w:spacing w:before="0" w:after="283"/>
              <w:jc w:val="left"/>
              <w:rPr/>
            </w:pPr>
            <w:r>
              <w:rPr/>
              <w:t>Name: Stephen Zhihui Yang</w:t>
            </w:r>
          </w:p>
        </w:tc>
      </w:tr>
      <w:tr>
        <w:trPr/>
        <w:tc>
          <w:tcPr>
            <w:tcW w:w="4082" w:type="dxa"/>
            <w:gridSpan w:val="3"/>
            <w:tcBorders/>
          </w:tcPr>
          <w:p>
            <w:pPr>
              <w:pStyle w:val="TableContents"/>
              <w:bidi w:val="0"/>
              <w:spacing w:before="0" w:after="283"/>
              <w:jc w:val="left"/>
              <w:rPr/>
            </w:pPr>
            <w:r>
              <w:rPr/>
              <w:t>Title: 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29, 2026 </w:t>
      </w:r>
    </w:p>
    <w:p>
      <w:pPr>
        <w:pStyle w:val="TextBody"/>
        <w:bidi w:val="0"/>
        <w:spacing w:before="0" w:after="0"/>
        <w:jc w:val="right"/>
        <w:rPr>
          <w:rFonts w:ascii="Times New Roman" w:hAnsi="Times New Roman"/>
          <w:b/>
          <w:sz w:val="20"/>
        </w:rPr>
      </w:pPr>
      <w:bookmarkStart w:id="2" w:name="d148153dex991.htm"/>
      <w:bookmarkStart w:id="3" w:name="ksd14815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New Oriental Announces Results for the Fourth Fiscal Quarter and the Fiscal Year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BEIJING, July 29, 2026 /PRNewswire/ – New Oriental Education &amp; Technology Group Inc. (the “Company” or “New Oriental”) (NYSE: EDU/ 9901.SEHK), a provider of private educational services in China, today announced its unaudited financial results for the fourth fiscal quarter and fiscal year ended May 31,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Financial Highlights for the Fourth Fiscal Quarter Ended May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revenues increased by 23.0% year over year to US$1,529.5 million for the fourth fiscal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income increased to US$85.8 million for the fourth fiscal quarter of 2026, compared to an operating loss of US$8.7 million in the prior-year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New Oriental increased by 775.8% year over year to US$62.2 million for the fourth fiscal quarter of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Financial Results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34"/>
        <w:gridCol w:w="158"/>
        <w:gridCol w:w="60"/>
        <w:gridCol w:w="1065"/>
        <w:gridCol w:w="60"/>
        <w:gridCol w:w="158"/>
        <w:gridCol w:w="60"/>
        <w:gridCol w:w="1065"/>
        <w:gridCol w:w="165"/>
        <w:gridCol w:w="133"/>
        <w:gridCol w:w="60"/>
        <w:gridCol w:w="773"/>
        <w:gridCol w:w="281"/>
      </w:tblGrid>
      <w:tr>
        <w:trPr/>
        <w:tc>
          <w:tcPr>
            <w:tcW w:w="4534"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 US$, except per ADS(1) data)</w:t>
            </w:r>
          </w:p>
        </w:tc>
        <w:tc>
          <w:tcPr>
            <w:tcW w:w="15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 FY2026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 FY2025</w:t>
            </w:r>
          </w:p>
        </w:tc>
        <w:tc>
          <w:tcPr>
            <w:tcW w:w="16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change</w:t>
            </w:r>
          </w:p>
        </w:tc>
        <w:tc>
          <w:tcPr>
            <w:tcW w:w="281"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1,529,532</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1,243,155</w:t>
            </w:r>
          </w:p>
        </w:tc>
        <w:tc>
          <w:tcPr>
            <w:tcW w:w="16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23.0</w:t>
            </w:r>
          </w:p>
        </w:tc>
        <w:tc>
          <w:tcPr>
            <w:tcW w:w="281"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income/(loss)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85,797</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(8,674</w:t>
            </w:r>
          </w:p>
        </w:tc>
        <w:tc>
          <w:tcPr>
            <w:tcW w:w="16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1,089.1</w:t>
            </w:r>
          </w:p>
        </w:tc>
        <w:tc>
          <w:tcPr>
            <w:tcW w:w="281"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income (2)(3)</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110,010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81,678</w:t>
            </w:r>
          </w:p>
        </w:tc>
        <w:tc>
          <w:tcPr>
            <w:tcW w:w="16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34.7</w:t>
            </w:r>
          </w:p>
        </w:tc>
        <w:tc>
          <w:tcPr>
            <w:tcW w:w="281"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62,182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7,100</w:t>
            </w:r>
          </w:p>
        </w:tc>
        <w:tc>
          <w:tcPr>
            <w:tcW w:w="16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775.8</w:t>
            </w:r>
          </w:p>
        </w:tc>
        <w:tc>
          <w:tcPr>
            <w:tcW w:w="281"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New Oriental (2)(3)</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87,760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98,083</w:t>
            </w:r>
          </w:p>
        </w:tc>
        <w:tc>
          <w:tcPr>
            <w:tcW w:w="16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-10.5</w:t>
            </w:r>
          </w:p>
        </w:tc>
        <w:tc>
          <w:tcPr>
            <w:tcW w:w="281"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 basic</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0.40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0.04</w:t>
            </w:r>
          </w:p>
        </w:tc>
        <w:tc>
          <w:tcPr>
            <w:tcW w:w="16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791.3</w:t>
            </w:r>
          </w:p>
        </w:tc>
        <w:tc>
          <w:tcPr>
            <w:tcW w:w="281"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 diluted</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0.39</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0.04</w:t>
            </w:r>
          </w:p>
        </w:tc>
        <w:tc>
          <w:tcPr>
            <w:tcW w:w="16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793.6</w:t>
            </w:r>
          </w:p>
        </w:tc>
        <w:tc>
          <w:tcPr>
            <w:tcW w:w="281"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basic (2)(3)(4)</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0.56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0.62</w:t>
            </w:r>
          </w:p>
        </w:tc>
        <w:tc>
          <w:tcPr>
            <w:tcW w:w="16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-8.9</w:t>
            </w:r>
          </w:p>
        </w:tc>
        <w:tc>
          <w:tcPr>
            <w:tcW w:w="281"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diluted (2)(3)(4)</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0.55</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0.61</w:t>
            </w:r>
          </w:p>
        </w:tc>
        <w:tc>
          <w:tcPr>
            <w:tcW w:w="16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-9.6</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00"/>
        <w:gridCol w:w="161"/>
        <w:gridCol w:w="60"/>
        <w:gridCol w:w="1044"/>
        <w:gridCol w:w="60"/>
        <w:gridCol w:w="161"/>
        <w:gridCol w:w="60"/>
        <w:gridCol w:w="1044"/>
        <w:gridCol w:w="60"/>
        <w:gridCol w:w="161"/>
        <w:gridCol w:w="88"/>
        <w:gridCol w:w="695"/>
        <w:gridCol w:w="278"/>
      </w:tblGrid>
      <w:tr>
        <w:trPr/>
        <w:tc>
          <w:tcPr>
            <w:tcW w:w="470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70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 US$, except per ADS(1) data)</w:t>
            </w:r>
          </w:p>
        </w:tc>
        <w:tc>
          <w:tcPr>
            <w:tcW w:w="161"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change</w:t>
            </w:r>
          </w:p>
        </w:tc>
        <w:tc>
          <w:tcPr>
            <w:tcW w:w="278"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5,661,294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4,900,262</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15.5</w:t>
            </w:r>
          </w:p>
        </w:tc>
        <w:tc>
          <w:tcPr>
            <w:tcW w:w="278"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643,251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428,250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50.2</w:t>
            </w:r>
          </w:p>
        </w:tc>
        <w:tc>
          <w:tcPr>
            <w:tcW w:w="278"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income (2)(3)</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737,568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554,228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33.1</w:t>
            </w:r>
          </w:p>
        </w:tc>
        <w:tc>
          <w:tcPr>
            <w:tcW w:w="278"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475,172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371,716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27.8</w:t>
            </w:r>
          </w:p>
        </w:tc>
        <w:tc>
          <w:tcPr>
            <w:tcW w:w="278"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New Oriental (2)(3)</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571,106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517,071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10.5</w:t>
            </w:r>
          </w:p>
        </w:tc>
        <w:tc>
          <w:tcPr>
            <w:tcW w:w="278"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 basic</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3.01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31.2</w:t>
            </w:r>
          </w:p>
        </w:tc>
        <w:tc>
          <w:tcPr>
            <w:tcW w:w="278"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 diluted</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2.97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2.28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30.4</w:t>
            </w:r>
          </w:p>
        </w:tc>
        <w:tc>
          <w:tcPr>
            <w:tcW w:w="278" w:type="dxa"/>
            <w:tcBorders/>
            <w:shd w:fill="CCEEFF" w:val="clear"/>
            <w:vAlign w:val="bottom"/>
          </w:tcPr>
          <w:p>
            <w:pPr>
              <w:pStyle w:val="TableContents"/>
              <w:bidi w:val="0"/>
              <w:spacing w:before="0" w:after="283"/>
              <w:jc w:val="left"/>
              <w:rPr/>
            </w:pPr>
            <w:r>
              <w:rPr/>
              <w:t>% </w:t>
            </w:r>
          </w:p>
        </w:tc>
      </w:tr>
      <w:tr>
        <w:trPr/>
        <w:tc>
          <w:tcPr>
            <w:tcW w:w="4700"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basic (2)(3)(4)</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3.62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13.3</w:t>
            </w:r>
          </w:p>
        </w:tc>
        <w:tc>
          <w:tcPr>
            <w:tcW w:w="278" w:type="dxa"/>
            <w:tcBorders/>
            <w:vAlign w:val="bottom"/>
          </w:tcPr>
          <w:p>
            <w:pPr>
              <w:pStyle w:val="TableContents"/>
              <w:bidi w:val="0"/>
              <w:spacing w:before="0" w:after="283"/>
              <w:jc w:val="left"/>
              <w:rPr/>
            </w:pPr>
            <w:r>
              <w:rPr/>
              <w:t>% </w:t>
            </w:r>
          </w:p>
        </w:tc>
      </w:tr>
      <w:tr>
        <w:trPr/>
        <w:tc>
          <w:tcPr>
            <w:tcW w:w="4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diluted (2)(3)(4)</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3.17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12.8</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ADS represents ten common shares. The Hong Kong-listed shares are fully fungible with the ADSs listed on NYSE.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represents Generally Accepted Accounting Principles in the United States of America.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Oriental provides non-GAAP financial measures on net income attributable to New Oriental, operating income and net income per ADS attributable to New Oriental that exclude share-based compensation expenses, amortization of intangible assets resulting from business acquisitions, (gain) /loss from fair value change of investments, (gain) /loss from equity method investments, impairment of long-term investments, impairment of goodwill, (gain) /loss on disposals of investments and others, as well as tax effects on non-GAAP adjustments. For further details on these adjustments, please refer to the section titled “About Non-GAAP Financial Measures” and the tables captioned “Reconciliations of Non-GAAP Measures to the Most Comparable GAAP Measures” set forth at the end of this release.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Non-GAAP net income per ADS attributable to New Oriental is computed using Non-GAAP net income attributable to New Oriental and the same number of shares and ADSs used in GAAP basic and diluted EPS calculation.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Operating Highlights for the Fourth Fiscal Quarter Ended May 31, 2026 </w:t>
      </w:r>
    </w:p>
    <w:p>
      <w:pPr>
        <w:pStyle w:val="TextBody"/>
        <w:bidi w:val="0"/>
        <w:spacing w:before="120" w:after="0"/>
        <w:jc w:val="left"/>
        <w:rPr>
          <w:rFonts w:ascii="Times New Roman" w:hAnsi="Times New Roman"/>
          <w:sz w:val="20"/>
        </w:rPr>
      </w:pPr>
      <w:r>
        <w:rPr>
          <w:rFonts w:ascii="Times New Roman" w:hAnsi="Times New Roman"/>
          <w:sz w:val="20"/>
        </w:rPr>
        <w:t xml:space="preserve">Michael Yu, New Oriental’s Executive Chairman, commented, “We are pleased to conclude the final quarter of fiscal year 2026 on a strong note, with continued healthy top line growth of 23.0%. Revenues from overseas test preparation and consulting business increased by approximately 3.6%. In addition, our domestic test preparation business targeting adults and university students grew by approximately 29.1% year over year. Our new educational business initiatives also gained meaningful traction, growing approximately 24.8% year over year. This quarter, our non-academic tutoring courses reached around 60 cities, attracting approximately 1,072,000 student enrollments, and our intelligent learning system and devices were adopted across around 60 cities, with approximately 326,000 active paid users. These results reflect the soundness of our core education strategy and our unwavering commitment to elevating teaching standards and product quality. The consistent growth we have achieved validates our long-term approach and demonstrates its capacity to generate sustainable value. Alongside our growth momentum, we have made significant strides in cost optimization and operational efficiency, advancing these initiatives into a new phase. Our newly established New Oriental Home – a comprehensive customer service platform integrated across all departments – has already served over 950,000 families across 69 cities by the end of this quarter. This infrastructure is designed to deepen customer loyalty and retention, unlock cross-selling potential, and maximize customer lifetime value, all while reducing customer acquisition and marketing costs. We remain steadfast in our commitment to strengthening our brand and delivering lasting value to both our customers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Chenggang Zhou, New Oriental’s Chief Executive Officer, added, “This fiscal quarter, we continued to execute our strategy of disciplined capacity expansion – one that over the full year has demonstrated remarkable effectiveness in balancing revenue growth with operational efficiency. Equally important, AI has become a central organizational priority, and we have advanced its adoption with clear execution and measurable progress. We further enhanced our OMO teaching system and deepened AI integration across our education ecosystem – embedding AI into existing offerings, refining AI-powered products, and deploying AI to boost operational efficiency and support for our teaching staff. Together, these efforts position us well for sustained long-term competitive advantage. For FY2026, East Buy continued to offer products under its “Three Highs” standards – safety, quality, and cost performance – backed by reliable service. It launched 11 new Douyin vertical accounts, expanding its channel matrix to 18, with coverage spanning food, fresh produce, nutrition, and more niche categories. It also upgraded its live streaming system and introduced talent recruitment initiatives, supplier summits, and user feedback mechanisms to strengthen its ecosystem. Looking ahead to FY2027, East Buy will expand offline experience stores via New Oriental’s learning centers, accelerate private label development, refine membership operations, and improve supply chain efficiency – all in service of driving sustainable long-term growth.” </w:t>
      </w:r>
    </w:p>
    <w:p>
      <w:pPr>
        <w:pStyle w:val="TextBody"/>
        <w:bidi w:val="0"/>
        <w:spacing w:before="240" w:after="0"/>
        <w:jc w:val="left"/>
        <w:rPr>
          <w:rFonts w:ascii="Times New Roman" w:hAnsi="Times New Roman"/>
          <w:sz w:val="20"/>
        </w:rPr>
      </w:pPr>
      <w:r>
        <w:rPr>
          <w:rFonts w:ascii="Times New Roman" w:hAnsi="Times New Roman"/>
          <w:sz w:val="20"/>
        </w:rPr>
        <w:t xml:space="preserve">Stephen Zhihui Yang, New Oriental’s Executive President and Chief Financial Officer, commented, “Despite one-time costs and expenses arising from our internal management restructuring this quarter, we still delivered year over year expansion in Non-GAAP operating margin. This achievement was primarily driven by enhanced operational efficiency, improved utilization within our educational business, and the solid top- and bottom-line performance of East Buy. For the quarter, Non-GAAP operating margin reached 7.2%, up by 60 basis points compared to the same period last fiscal year. For the full fiscal year 2026, Non-GAAP operating margin expanded by 170 basis points, from 11.3% to 13.0%. Looking ahead, we will continue to execute our cost and efficiency initiatives across key business lines in the coming new fiscal year. Building on the structural optimizations already in place, we aim to steadily reduce fixed costs, drive further operational efficiencies, and reinforce the foundation for sustainable, profitable growth.”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Update on Shareholder Return for the Fiscal Year 2026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announced that, pursuant to its previously adopted three-year shareholder return plan, the board of directors had approved an ordinary dividend of US$0.12 per common share, or US$1.20 per ADS, to be distributed in two installments as part of the shareholder return for the fiscal year 2026. The first and second installments have been fully paid to shareholders and ADS 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part of the shareholder return for the fiscal year 2026, the Company also announced in October 2025 a share repurchase program, under which the Company is authorized to repurchase up to US$300 million of its ADSs or common shares over the subsequent 12 months. As of July 28, 2026, the Company had repurchased a total of approximately 51.5 million common shares (including common shares represented by ADSs) for an aggregate consideration of approximately US$274.0 million from the open market under this share repurchase program. The Company expects to continue to carry out this share repurchase program for the remainder of its duration in accordance with its terms.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Shareholder Return for the Fiscal Year 2027 </w:t>
      </w:r>
    </w:p>
    <w:p>
      <w:pPr>
        <w:pStyle w:val="TextBody"/>
        <w:bidi w:val="0"/>
        <w:spacing w:before="120" w:after="0"/>
        <w:jc w:val="left"/>
        <w:rPr>
          <w:rFonts w:ascii="Times New Roman" w:hAnsi="Times New Roman"/>
          <w:sz w:val="20"/>
        </w:rPr>
      </w:pPr>
      <w:r>
        <w:rPr>
          <w:rFonts w:ascii="Times New Roman" w:hAnsi="Times New Roman"/>
          <w:sz w:val="20"/>
        </w:rPr>
        <w:t xml:space="preserve">To implement its three-year shareholder return plan adopted in July 2025 for the fiscal year 2027, the board of directors of the Company has approved an ordinary cash dividend and a new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the cash dividend for the fiscal year 2027 is expected to be approximately US$300 million, to be paid in two installments in December 2026 and June 2027, respectively. Further details regarding the cash dividend will be decided by the board of directors and announced by the Company in due course.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share repurchase program for the fiscal year 2027, the Company may repurchase up to US$200 million of its ADSs or common shares over the subsequent 12 months following the board approval. The Company’s proposed repurchases may be made from time to time in the open market at prevailing market prices, in privately negotiated transactions, in block trades and/or through other legally permissible means, depending on market conditions and in accordance with applicable rules and regulations. The board of directors of the Company will review the share repurchase program periodically, and may authorize adjustment of its terms and size. The Company expects to fund the repurchases out of its existing cash balance.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Financial Results for the Fourth Fiscal Quarter Ended May 31, 2026 </w:t>
      </w:r>
    </w:p>
    <w:p>
      <w:pPr>
        <w:pStyle w:val="TextBody"/>
        <w:bidi w:val="0"/>
        <w:spacing w:before="120" w:after="0"/>
        <w:jc w:val="left"/>
        <w:rPr>
          <w:rFonts w:ascii="Times New Roman" w:hAnsi="Times New Roman"/>
          <w:b/>
          <w:sz w:val="20"/>
        </w:rPr>
      </w:pPr>
      <w:r>
        <w:rPr>
          <w:rFonts w:ascii="Times New Roman" w:hAnsi="Times New Roman"/>
          <w:b/>
          <w:sz w:val="20"/>
        </w:rPr>
        <w:t xml:space="preserve">Net Revenues </w:t>
      </w:r>
    </w:p>
    <w:p>
      <w:pPr>
        <w:pStyle w:val="TextBody"/>
        <w:bidi w:val="0"/>
        <w:spacing w:before="120" w:after="0"/>
        <w:jc w:val="left"/>
        <w:rPr>
          <w:rFonts w:ascii="Times New Roman" w:hAnsi="Times New Roman"/>
          <w:sz w:val="20"/>
        </w:rPr>
      </w:pPr>
      <w:r>
        <w:rPr>
          <w:rFonts w:ascii="Times New Roman" w:hAnsi="Times New Roman"/>
          <w:sz w:val="20"/>
        </w:rPr>
        <w:t xml:space="preserve">For the fourth fiscal quarter of 2026, New Oriental reported net revenues of US$1,529.5 million, representing a 23.0% increase year over year. The growth was mainly driven by the increase in net revenues from the Company’s new educational business initiatives.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Operating costs and expenses for the quarter were US$1,443.7 million, representing a 15.3 % increase year over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Cost of revenues</w:t>
            </w:r>
            <w:r>
              <w:rPr>
                <w:rFonts w:ascii="Times New Roman" w:hAnsi="Times New Roman"/>
                <w:sz w:val="20"/>
              </w:rPr>
              <w:t xml:space="preserve"> increased by 25.9% year over year to US$717.3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Selling and marketing expenses</w:t>
            </w:r>
            <w:r>
              <w:rPr>
                <w:rFonts w:ascii="Times New Roman" w:hAnsi="Times New Roman"/>
                <w:sz w:val="20"/>
              </w:rPr>
              <w:t xml:space="preserve"> increased by 23.9% year over year to US$262.5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General and administrative expenses</w:t>
            </w:r>
            <w:r>
              <w:rPr>
                <w:rFonts w:ascii="Times New Roman" w:hAnsi="Times New Roman"/>
                <w:sz w:val="20"/>
              </w:rPr>
              <w:t xml:space="preserve"> increased by 13.2% year over year to US$463.9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Impairment of goodwill </w:t>
            </w:r>
            <w:r>
              <w:rPr>
                <w:rFonts w:ascii="Times New Roman" w:hAnsi="Times New Roman"/>
                <w:sz w:val="20"/>
              </w:rPr>
              <w:t xml:space="preserve">was nil, compared to US$60.3 million in the same period of the prior fiscal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share-based compensation expenses, which were allocated to related operating costs and expenses, decreased by 20.7% to US$22.7 million in the fourth fiscal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Income / Loss and Operating Margin </w:t>
      </w:r>
    </w:p>
    <w:p>
      <w:pPr>
        <w:pStyle w:val="TextBody"/>
        <w:bidi w:val="0"/>
        <w:spacing w:before="120" w:after="0"/>
        <w:jc w:val="left"/>
        <w:rPr>
          <w:rFonts w:ascii="Times New Roman" w:hAnsi="Times New Roman"/>
          <w:sz w:val="20"/>
        </w:rPr>
      </w:pPr>
      <w:r>
        <w:rPr>
          <w:rFonts w:ascii="Times New Roman" w:hAnsi="Times New Roman"/>
          <w:sz w:val="20"/>
        </w:rPr>
        <w:t xml:space="preserve">Operating income increased to US$85.8 million for the fourth fiscal quarter of 2026, compared to an operating loss of US$8.7 million in the prior-year period. Non-GAAP income from operations for the quarter, excluding share-based compensation expenses, amortization of intangible assets resulting from business acquisitions and impairment of goodwill, was US$110.0 million, representing a 34.7% increase year over year. </w:t>
      </w:r>
    </w:p>
    <w:p>
      <w:pPr>
        <w:pStyle w:val="TextBody"/>
        <w:bidi w:val="0"/>
        <w:spacing w:before="120" w:after="0"/>
        <w:jc w:val="left"/>
        <w:rPr>
          <w:rFonts w:ascii="Times New Roman" w:hAnsi="Times New Roman"/>
          <w:sz w:val="20"/>
        </w:rPr>
      </w:pPr>
      <w:r>
        <w:rPr>
          <w:rFonts w:ascii="Times New Roman" w:hAnsi="Times New Roman"/>
          <w:sz w:val="20"/>
        </w:rPr>
        <w:t xml:space="preserve">Operating margin for the quarter was 5.6%, compared to negative 0.7% in the same period of the prior fiscal year. Non-GAAP operating margin, which excludes share-based compensation expenses, amortization of intangible assets resulting from business acquisitions and impairment of goodwill, for the quarter was 7.2%, compared to 6.6% in the same period of the prior fiscal year.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and Net Income per ADS </w:t>
      </w:r>
    </w:p>
    <w:p>
      <w:pPr>
        <w:pStyle w:val="TextBody"/>
        <w:bidi w:val="0"/>
        <w:spacing w:before="120" w:after="0"/>
        <w:jc w:val="left"/>
        <w:rPr>
          <w:rFonts w:ascii="Times New Roman" w:hAnsi="Times New Roman"/>
          <w:sz w:val="20"/>
        </w:rPr>
      </w:pPr>
      <w:r>
        <w:rPr>
          <w:rFonts w:ascii="Times New Roman" w:hAnsi="Times New Roman"/>
          <w:sz w:val="20"/>
        </w:rPr>
        <w:t xml:space="preserve">Net income attributable to New Oriental for the quarter was US$62.2 million, representing a 775.8% increase year over year. Basic and diluted net income per ADS attributable to New Oriental were US$0.40 and US$0.39,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Non-GAAP Net Income and Non-GAAP Net Income per ADS </w:t>
      </w:r>
    </w:p>
    <w:p>
      <w:pPr>
        <w:pStyle w:val="TextBody"/>
        <w:bidi w:val="0"/>
        <w:spacing w:before="120" w:after="0"/>
        <w:jc w:val="left"/>
        <w:rPr>
          <w:rFonts w:ascii="Times New Roman" w:hAnsi="Times New Roman"/>
          <w:sz w:val="20"/>
        </w:rPr>
      </w:pPr>
      <w:r>
        <w:rPr>
          <w:rFonts w:ascii="Times New Roman" w:hAnsi="Times New Roman"/>
          <w:sz w:val="20"/>
        </w:rPr>
        <w:t xml:space="preserve">Non-GAAP net income attributable to New Oriental for the quarter, excluding share-based compensation expenses, amortization of intangible assets resulting from business acquisitions, (gain)/loss from fair value change of investments, loss/(gain) from equity method investments, impairment of long-term investments, impairment of goodwill, loss/(gain) on disposals of investments and others, as well as tax effects on non-GAAP adjustments, was US$87.8 million, representing a 10.5% decrease year over year. Non-GAAP basic and diluted net income per ADS attributable to New Oriental were US$0.56 and US$0.55,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 </w:t>
      </w:r>
    </w:p>
    <w:p>
      <w:pPr>
        <w:pStyle w:val="TextBody"/>
        <w:bidi w:val="0"/>
        <w:spacing w:before="120" w:after="0"/>
        <w:jc w:val="left"/>
        <w:rPr>
          <w:rFonts w:ascii="Times New Roman" w:hAnsi="Times New Roman"/>
          <w:sz w:val="20"/>
        </w:rPr>
      </w:pPr>
      <w:r>
        <w:rPr>
          <w:rFonts w:ascii="Times New Roman" w:hAnsi="Times New Roman"/>
          <w:sz w:val="20"/>
        </w:rPr>
        <w:t xml:space="preserve">Net operating cash inflow for the fourth fiscal quarter of 2026 was approximately US$518.7 million and capital expenditures for the quarter were US$99.0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2026, New Oriental had cash and cash equivalents of US$1,821.2 million. In addition, the Company had US$1,366.8 million in term deposits and US$2,372.3 million in 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New Oriental’s deferred revenue, which represents cash collected upfront from customers and related revenue that will be recognized as the services or goods are delivered, at the end of the fourth quarter of fiscal year 2026 was US$2,242.9 million, an increase of 14.8% as compared to US$1,954.5 million at the end of the fourth quarter of fiscal year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Financial Results for the Fiscal Year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2026 ended May 31, 2026, New Oriental reported net revenues of US$5,661.3 million, representing a 15.5% increase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was US$643.3 million, representing a 50.2% increase year over year. Non-GAAP operating income, excluding share-based compensation expenses, amortization of intangible assets resulting from business acquisitions and impairment of goodwill, for the fiscal year 2026 was US$737.6 million, representing a 33.1% increase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margin for the fiscal year 2026 was 11.4%, compared to 8.7% for the same period of the prior fiscal year. Non-GAAP operating margin, which excludes share-based compensation expenses, amortization of intangible assets resulting from business acquisitions and impairment of goodwill, for the fiscal year 2026, was 13.0%, compared to 11.3% for the same period of the prior fiscal year.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New Oriental for the fiscal year 2026 was US$475.2 million, representing a 27.8% increase year over year. Basic and diluted net income per ADS attributable to New Oriental for the fiscal year 2026 amounted to US$3.01 and US$2.97,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 attributable to New Oriental, excluding share-based compensation expenses, amortization of intangible assets resulting from business acquisitions, (gain) /loss from fair value change of investments, loss from equity method investments, impairment of long-term investments, impairment of goodwill, gain on disposals of investments and others, as well as tax effects on non-GAAP adjustments, for the fiscal year 2026 was US$571.1 million, representing a 10.5% increase year over year. Non-GAAP basic and diluted net income per ADS attributable to New Oriental for the fiscal year 2026 amounted to US$3.62 and US$3.57, respectively.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Outlook for the Full Year of FY2027 </w:t>
      </w:r>
    </w:p>
    <w:p>
      <w:pPr>
        <w:pStyle w:val="TextBody"/>
        <w:bidi w:val="0"/>
        <w:spacing w:before="120" w:after="0"/>
        <w:jc w:val="left"/>
        <w:rPr>
          <w:rFonts w:ascii="Times New Roman" w:hAnsi="Times New Roman"/>
          <w:sz w:val="20"/>
        </w:rPr>
      </w:pPr>
      <w:r>
        <w:rPr>
          <w:rFonts w:ascii="Times New Roman" w:hAnsi="Times New Roman"/>
          <w:sz w:val="20"/>
        </w:rPr>
        <w:t xml:space="preserve">New Oriental expects total net revenues in the fiscal year 2027 (June 1, 2026 to May 31, 2027) to be in the range of US$6,453.9 million to US$6,680.3 million, representing a year over year increase in the range of 14% to 18%. </w:t>
      </w:r>
    </w:p>
    <w:p>
      <w:pPr>
        <w:pStyle w:val="TextBody"/>
        <w:bidi w:val="0"/>
        <w:spacing w:before="240" w:after="0"/>
        <w:jc w:val="left"/>
        <w:rPr>
          <w:rFonts w:ascii="Times New Roman" w:hAnsi="Times New Roman"/>
          <w:sz w:val="20"/>
        </w:rPr>
      </w:pPr>
      <w:r>
        <w:rPr>
          <w:rFonts w:ascii="Times New Roman" w:hAnsi="Times New Roman"/>
          <w:sz w:val="20"/>
        </w:rPr>
        <w:t>This forecast reflects New Oriental’s current and preliminary view, which is subject to change. The forecast is based on the current USD/RMB exchange rate, which is also subject to change.</w:t>
      </w:r>
      <w:r>
        <w:rPr>
          <w:rFonts w:ascii="Times New Roman" w:hAnsi="Times New Roman"/>
          <w:sz w:val="20"/>
          <w:u w:val="single"/>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New Oriental’s management will host an earnings conference call at 8 AM on July 29, 2026, U.S. Eastern Time (8 PM on July 29, 2026, Beijing/Hong Kong Time).</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using the link provided below. Upon registering, you will be provided with participant dial-in numbers, and unique personal PIN. </w:t>
      </w:r>
    </w:p>
    <w:p>
      <w:pPr>
        <w:pStyle w:val="TextBody"/>
        <w:bidi w:val="0"/>
        <w:spacing w:before="240" w:after="0"/>
        <w:jc w:val="left"/>
        <w:rPr>
          <w:rFonts w:ascii="Times New Roman" w:hAnsi="Times New Roman"/>
          <w:sz w:val="20"/>
        </w:rPr>
      </w:pPr>
      <w:r>
        <w:rPr>
          <w:rFonts w:ascii="Times New Roman" w:hAnsi="Times New Roman"/>
          <w:sz w:val="20"/>
        </w:rPr>
        <w:t xml:space="preserve">Conference call registration link: </w:t>
      </w:r>
    </w:p>
    <w:p>
      <w:pPr>
        <w:pStyle w:val="TextBody"/>
        <w:bidi w:val="0"/>
        <w:spacing w:before="0" w:after="0"/>
        <w:jc w:val="left"/>
        <w:rPr>
          <w:rFonts w:ascii="Times New Roman" w:hAnsi="Times New Roman"/>
          <w:sz w:val="20"/>
        </w:rPr>
      </w:pPr>
      <w:r>
        <w:rPr>
          <w:rFonts w:ascii="Times New Roman" w:hAnsi="Times New Roman"/>
          <w:sz w:val="20"/>
          <w:u w:val="single"/>
        </w:rPr>
        <w:t>https://register-conf.media-server.com/register/BIffe9352b170044a4b248e41d134aed08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will automatically direct you to the registration page of “New Oriental FY2026 Q4 Earnings Conference Call” where you may fill in your details for RSVP.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 in number(s) and personal PIN) provided in the confirmation email received at the point of registering. </w:t>
      </w:r>
    </w:p>
    <w:p>
      <w:pPr>
        <w:pStyle w:val="TextBody"/>
        <w:bidi w:val="0"/>
        <w:spacing w:before="360" w:after="0"/>
        <w:jc w:val="left"/>
        <w:rPr>
          <w:rFonts w:ascii="Times New Roman" w:hAnsi="Times New Roman"/>
          <w:b/>
          <w:sz w:val="20"/>
        </w:rPr>
      </w:pPr>
      <w:r>
        <w:rPr>
          <w:rFonts w:ascii="Times New Roman" w:hAnsi="Times New Roman"/>
          <w:b/>
          <w:sz w:val="20"/>
        </w:rPr>
        <w:t xml:space="preserve">Joining the conference call via a live webcast: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live and archived webcast of the conference call will be available at </w:t>
      </w:r>
      <w:r>
        <w:rPr>
          <w:rFonts w:ascii="Times New Roman" w:hAnsi="Times New Roman"/>
          <w:sz w:val="20"/>
          <w:u w:val="single"/>
        </w:rPr>
        <w:t>http://investor.neworiental.org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Listening to the conference call replay: </w:t>
      </w:r>
    </w:p>
    <w:p>
      <w:pPr>
        <w:pStyle w:val="TextBody"/>
        <w:bidi w:val="0"/>
        <w:spacing w:before="120" w:after="0"/>
        <w:jc w:val="left"/>
        <w:rPr>
          <w:rFonts w:ascii="Times New Roman" w:hAnsi="Times New Roman"/>
          <w:sz w:val="20"/>
        </w:rPr>
      </w:pPr>
      <w:r>
        <w:rPr>
          <w:rFonts w:ascii="Times New Roman" w:hAnsi="Times New Roman"/>
          <w:sz w:val="20"/>
        </w:rPr>
        <w:t xml:space="preserve">A replay of the conference call may be accessed via the webcast on-demand by registering at </w:t>
      </w:r>
      <w:r>
        <w:rPr>
          <w:rFonts w:ascii="Times New Roman" w:hAnsi="Times New Roman"/>
          <w:sz w:val="20"/>
          <w:u w:val="single"/>
        </w:rPr>
        <w:t>https://edge.media-server.com/mmc/p/pdsxxtdn</w:t>
      </w:r>
      <w:r>
        <w:rPr>
          <w:rFonts w:ascii="Times New Roman" w:hAnsi="Times New Roman"/>
          <w:sz w:val="20"/>
        </w:rPr>
        <w:t xml:space="preserve"> first. The replay will be available until July 29, 2027.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New Oriental </w:t>
      </w:r>
    </w:p>
    <w:p>
      <w:pPr>
        <w:pStyle w:val="TextBody"/>
        <w:bidi w:val="0"/>
        <w:spacing w:before="120" w:after="0"/>
        <w:jc w:val="left"/>
        <w:rPr>
          <w:rFonts w:ascii="Times New Roman" w:hAnsi="Times New Roman"/>
          <w:sz w:val="20"/>
        </w:rPr>
      </w:pPr>
      <w:r>
        <w:rPr>
          <w:rFonts w:ascii="Times New Roman" w:hAnsi="Times New Roman"/>
          <w:sz w:val="20"/>
        </w:rPr>
        <w:t xml:space="preserve">New Oriental is a provider of private educational services in China offering a wide range of educational programs, services and products to a varied student population throughout China. New Oriental’s program, service and product offerings mainly consist of educational services and test preparation courses, private label products and livestreaming e-commerce, overseas study consulting services, and educational materials and distribution. New Oriental is listed on NYSE (NYSE: EDU) and SEHK (9901.SEHK), respectively. New Oriental’s ADSs, each of which represents ten common shares, are listed and traded on the NYSE. The Hong Kong-listed shares are fully fungible with the ADSs listed on NYSE.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New Oriental, please visit </w:t>
      </w:r>
      <w:r>
        <w:rPr>
          <w:rFonts w:ascii="Times New Roman" w:hAnsi="Times New Roman"/>
          <w:sz w:val="20"/>
          <w:u w:val="single"/>
        </w:rPr>
        <w:t>http://www.neworiental.org/english/</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outlook for the full year of fiscal year 2027, quotations from management in this announcement, as well as New Oriental’s strategic and operational plans, contain forward-looking statements. New Oriental may also make written or oral forward-looking statements in its reports filed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New Oriental’s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and efficiently manage changes of its existing business and new business; its ability to execute its business strategies; uncertainties in relation to the interpretation and implementation of or proposed changes to, the PRC laws, regulations and policies regarding the private education industry; its ability to attract students without a significant decrease in course fees; its ability to maintain and enhance its “New Oriental” brand; its ability to maintain consistent teaching quality throughout its school network, or service quality throughout its brand; its ability to achieve the benefits it expects from recent and future acquisitions; the outcome of ongoing, or any future, litigation or arbitration, including those relating to copyright and other intellectual property rights; competition in the private education sector and livestreaming e-commerce business in China; the continuing efforts of its senior management team and other key personnel, health epidemics and other outbreaks in China; and general economic conditions in China. Further information regarding these and other risks is included in its annual report on Form 20-F and other documents filed with the Securities and Exchange Commission. New Oriental does not undertake any obligation to update any forward-looking statement, except as required under applicable law. All information provided in this press release and in the attachments is as of the date of this press release, and New Oriental undertakes no duty to update such information, except as required under applicable law.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About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New Oriental’s consolidated financial results presented in accordance with GAAP, New Oriental uses the following measures defined as non-GAAP financial measures by the SEC: net income excluding share-based compensation expenses, amortization of intangible assets resulting from business acquisitions, (gain)/loss from fair value change of investments, loss/(gain) from equity method investments, impairment of long-term investments and goodwill, loss/(gain) on disposals of investments and others, as well as tax effects on non-GAAP adjustments; operating income excluding share-based compensation expenses, amortization of intangible assets resulting from business acquisitions, and impairment of goodwill; operating margin excluding share-based compensation expenses, amortization of intangible assets resulting from business acquisitions, and impairment of goodwill; and basic and diluted net income per ADS and per share excluding share-based compensation expenses, amortization of intangible assets resulting from business acquisitions, loss/(gain) from fair value change of investments, loss/(gain) from equity method investments, impairment of long-term investments and goodwill, loss/(gain) on disposals of investments and others, as well as tax effects on non-GAAP adjustments. The presentation of these non-GAAP financial measures is not intended to be considered in isolation or as a substitute for the financial information prepared and presented in accordance with GAAP. For more information on these non-GAAP financial measures, please see the tables captioned “Reconciliations of non-GAAP measures to the most comparable GAAP measures” set forth at the end of this release.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Oriental believes that these non-GAAP financial measures provide meaningful supplemental information regarding its performance and liquidity by excluding from each non-GAAP measure certain items that may not be indicative of its operating performance from a cash perspective. New Oriental believes that both management and investors benefit from referring to these non-GAAP financial measures in assessing its performance and when planning and forecasting future periods. These non-GAAP financial measures also facilitate management’s internal comparisons to New Oriental’s historical performance and liquidity. New Oriental believes these non-GAAP financial measures are useful to investors in allowing for greater transparency with respect to supplemental information used by management in its financial and operational decision making. A limitation of using these non-GAAP measures is that they exclude from each non-GAAP measure certain items that have been and will continue to be for the foreseeable future a significant recurring expense in its business.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For investor and media inquiries, please contact: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6"/>
        <w:gridCol w:w="121"/>
        <w:gridCol w:w="6198"/>
      </w:tblGrid>
      <w:tr>
        <w:trPr/>
        <w:tc>
          <w:tcPr>
            <w:tcW w:w="38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198" w:type="dxa"/>
            <w:tcBorders/>
            <w:vAlign w:val="center"/>
          </w:tcPr>
          <w:p>
            <w:pPr>
              <w:pStyle w:val="TableContents"/>
              <w:bidi w:val="0"/>
              <w:spacing w:before="0" w:after="283"/>
              <w:jc w:val="left"/>
              <w:rPr>
                <w:sz w:val="4"/>
                <w:szCs w:val="4"/>
              </w:rPr>
            </w:pPr>
            <w:r>
              <w:rPr>
                <w:sz w:val="4"/>
                <w:szCs w:val="4"/>
              </w:rPr>
            </w:r>
          </w:p>
        </w:tc>
      </w:tr>
      <w:tr>
        <w:trPr/>
        <w:tc>
          <w:tcPr>
            <w:tcW w:w="3886" w:type="dxa"/>
            <w:tcBorders/>
          </w:tcPr>
          <w:p>
            <w:pPr>
              <w:pStyle w:val="TableContents"/>
              <w:bidi w:val="0"/>
              <w:spacing w:before="0" w:after="283"/>
              <w:jc w:val="left"/>
              <w:rPr/>
            </w:pPr>
            <w:r>
              <w:rPr/>
              <w:t>Ms. Rita Fong</w:t>
            </w:r>
          </w:p>
        </w:tc>
        <w:tc>
          <w:tcPr>
            <w:tcW w:w="121" w:type="dxa"/>
            <w:tcBorders/>
            <w:vAlign w:val="bottom"/>
          </w:tcPr>
          <w:p>
            <w:pPr>
              <w:pStyle w:val="TableContents"/>
              <w:bidi w:val="0"/>
              <w:spacing w:before="0" w:after="283"/>
              <w:jc w:val="left"/>
              <w:rPr/>
            </w:pPr>
            <w:r>
              <w:rPr/>
              <w:t>  </w:t>
            </w:r>
          </w:p>
        </w:tc>
        <w:tc>
          <w:tcPr>
            <w:tcW w:w="6198" w:type="dxa"/>
            <w:tcBorders/>
          </w:tcPr>
          <w:p>
            <w:pPr>
              <w:pStyle w:val="TableContents"/>
              <w:bidi w:val="0"/>
              <w:spacing w:before="0" w:after="283"/>
              <w:jc w:val="left"/>
              <w:rPr/>
            </w:pPr>
            <w:r>
              <w:rPr/>
              <w:t>Ms. Sisi Zhao</w:t>
            </w:r>
          </w:p>
        </w:tc>
      </w:tr>
      <w:tr>
        <w:trPr/>
        <w:tc>
          <w:tcPr>
            <w:tcW w:w="3886" w:type="dxa"/>
            <w:tcBorders/>
          </w:tcPr>
          <w:p>
            <w:pPr>
              <w:pStyle w:val="TableContents"/>
              <w:bidi w:val="0"/>
              <w:spacing w:before="0" w:after="283"/>
              <w:jc w:val="left"/>
              <w:rPr/>
            </w:pPr>
            <w:r>
              <w:rPr/>
              <w:t>FTI Consulting</w:t>
            </w:r>
          </w:p>
        </w:tc>
        <w:tc>
          <w:tcPr>
            <w:tcW w:w="121" w:type="dxa"/>
            <w:tcBorders/>
            <w:vAlign w:val="bottom"/>
          </w:tcPr>
          <w:p>
            <w:pPr>
              <w:pStyle w:val="TableContents"/>
              <w:bidi w:val="0"/>
              <w:spacing w:before="0" w:after="283"/>
              <w:jc w:val="left"/>
              <w:rPr/>
            </w:pPr>
            <w:r>
              <w:rPr/>
              <w:t>  </w:t>
            </w:r>
          </w:p>
        </w:tc>
        <w:tc>
          <w:tcPr>
            <w:tcW w:w="6198" w:type="dxa"/>
            <w:tcBorders/>
          </w:tcPr>
          <w:p>
            <w:pPr>
              <w:pStyle w:val="TableContents"/>
              <w:bidi w:val="0"/>
              <w:spacing w:before="0" w:after="283"/>
              <w:jc w:val="left"/>
              <w:rPr/>
            </w:pPr>
            <w:r>
              <w:rPr/>
              <w:t>New Oriental Education &amp; Technology Group Inc.</w:t>
            </w:r>
          </w:p>
        </w:tc>
      </w:tr>
      <w:tr>
        <w:trPr/>
        <w:tc>
          <w:tcPr>
            <w:tcW w:w="3886" w:type="dxa"/>
            <w:tcBorders/>
          </w:tcPr>
          <w:p>
            <w:pPr>
              <w:pStyle w:val="TableContents"/>
              <w:bidi w:val="0"/>
              <w:spacing w:before="0" w:after="283"/>
              <w:jc w:val="left"/>
              <w:rPr/>
            </w:pPr>
            <w:r>
              <w:rPr/>
              <w:t>Tel:   +852 3768 4548</w:t>
            </w:r>
          </w:p>
        </w:tc>
        <w:tc>
          <w:tcPr>
            <w:tcW w:w="121" w:type="dxa"/>
            <w:tcBorders/>
            <w:vAlign w:val="bottom"/>
          </w:tcPr>
          <w:p>
            <w:pPr>
              <w:pStyle w:val="TableContents"/>
              <w:bidi w:val="0"/>
              <w:spacing w:before="0" w:after="283"/>
              <w:jc w:val="left"/>
              <w:rPr/>
            </w:pPr>
            <w:r>
              <w:rPr/>
              <w:t>  </w:t>
            </w:r>
          </w:p>
        </w:tc>
        <w:tc>
          <w:tcPr>
            <w:tcW w:w="6198" w:type="dxa"/>
            <w:tcBorders/>
          </w:tcPr>
          <w:p>
            <w:pPr>
              <w:pStyle w:val="TableContents"/>
              <w:bidi w:val="0"/>
              <w:spacing w:before="0" w:after="283"/>
              <w:jc w:val="left"/>
              <w:rPr/>
            </w:pPr>
            <w:r>
              <w:rPr/>
              <w:t>Tel:   +86-10-6260-5568</w:t>
            </w:r>
          </w:p>
        </w:tc>
      </w:tr>
      <w:tr>
        <w:trPr/>
        <w:tc>
          <w:tcPr>
            <w:tcW w:w="3886" w:type="dxa"/>
            <w:tcBorders/>
          </w:tcPr>
          <w:p>
            <w:pPr>
              <w:pStyle w:val="TableContents"/>
              <w:bidi w:val="0"/>
              <w:spacing w:before="0" w:after="283"/>
              <w:jc w:val="left"/>
              <w:rPr/>
            </w:pPr>
            <w:r>
              <w:rPr/>
              <w:t>Email:  rita.fong@fticonsulting.com</w:t>
            </w:r>
          </w:p>
        </w:tc>
        <w:tc>
          <w:tcPr>
            <w:tcW w:w="121" w:type="dxa"/>
            <w:tcBorders/>
            <w:vAlign w:val="bottom"/>
          </w:tcPr>
          <w:p>
            <w:pPr>
              <w:pStyle w:val="TableContents"/>
              <w:bidi w:val="0"/>
              <w:spacing w:before="0" w:after="283"/>
              <w:jc w:val="left"/>
              <w:rPr/>
            </w:pPr>
            <w:r>
              <w:rPr/>
              <w:t>  </w:t>
            </w:r>
          </w:p>
        </w:tc>
        <w:tc>
          <w:tcPr>
            <w:tcW w:w="6198" w:type="dxa"/>
            <w:tcBorders/>
          </w:tcPr>
          <w:p>
            <w:pPr>
              <w:pStyle w:val="TableContents"/>
              <w:bidi w:val="0"/>
              <w:spacing w:before="0" w:after="283"/>
              <w:jc w:val="left"/>
              <w:rPr/>
            </w:pPr>
            <w:r>
              <w:rPr/>
              <w:t>Email:  zhaosisi@xdf.cn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216"/>
        <w:gridCol w:w="79"/>
        <w:gridCol w:w="1292"/>
        <w:gridCol w:w="60"/>
        <w:gridCol w:w="216"/>
        <w:gridCol w:w="79"/>
        <w:gridCol w:w="1292"/>
        <w:gridCol w:w="63"/>
      </w:tblGrid>
      <w:tr>
        <w:trPr/>
        <w:tc>
          <w:tcPr>
            <w:tcW w:w="6908"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As of May 31</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As of May 31</w:t>
            </w:r>
            <w:r>
              <w:rPr/>
              <w:br/>
            </w:r>
            <w:r>
              <w:rPr>
                <w:b/>
              </w:rPr>
              <w:t>2025</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(Unaudited)</w:t>
            </w:r>
            <w:r>
              <w:rPr/>
              <w:br/>
              <w:t>USD</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b/>
              </w:rPr>
              <w:t>(Audited)</w:t>
            </w:r>
            <w:r>
              <w:rPr/>
              <w:br/>
              <w:t>USD</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1,821,202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1,612,379</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179,103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180,724</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deposits, current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919,492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1,092,115</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2,372,290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1,873,502</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36,991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33,629</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105,803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80,884</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net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389,132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307,902</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current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7,742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6,567</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5,831,755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5,187,702</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non-current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96,185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24,030</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deposits, non-current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447,295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355,665</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880,068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767,346</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57,191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54,900</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non-current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12,645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12,464</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56,434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48,815</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7,773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13,020</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46,558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43,832</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 net</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383,063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388,481</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105,271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97,932</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854,358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793,842</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13,424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17,470</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8,792,020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7,805,499</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126,942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80,484</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937,749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830,583</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payable</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93,413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203,531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167,881</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405</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2,242,946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1,954,464</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285,016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255,997</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3,889,685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3,289,814</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14,094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14,174</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14,403</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563,825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533,376</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577,919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561,953</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4,467,604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3,851,767</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Oriental Education &amp; Technology Group Inc. shareholders’ equity</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3,986,323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3,661,873</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338,093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291,859</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4,324,416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3,953,732</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8,792,020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7,805,499</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per share and per ADS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85"/>
        <w:gridCol w:w="253"/>
        <w:gridCol w:w="100"/>
        <w:gridCol w:w="1653"/>
        <w:gridCol w:w="263"/>
        <w:gridCol w:w="236"/>
        <w:gridCol w:w="100"/>
        <w:gridCol w:w="1656"/>
        <w:gridCol w:w="159"/>
      </w:tblGrid>
      <w:tr>
        <w:trPr/>
        <w:tc>
          <w:tcPr>
            <w:tcW w:w="578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8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0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May 31</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53" w:type="dxa"/>
            <w:gridSpan w:val="2"/>
            <w:tcBorders/>
            <w:vAlign w:val="bottom"/>
          </w:tcPr>
          <w:p>
            <w:pPr>
              <w:pStyle w:val="TableContents"/>
              <w:bidi w:val="0"/>
              <w:spacing w:before="0" w:after="283"/>
              <w:jc w:val="center"/>
              <w:rPr>
                <w:b/>
              </w:rPr>
            </w:pPr>
            <w:r>
              <w:rPr>
                <w:b/>
              </w:rPr>
              <w:t>(Unaudited)</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756" w:type="dxa"/>
            <w:gridSpan w:val="2"/>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756"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1,529,532</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1,243,155</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cost and expenses (note 1)</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653"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6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717,311</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569,872</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262,518</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211,906</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463,906</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409,752</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60,299</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cost and expenses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1,443,735</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1,251,829</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income/(loss)</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85,797</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(8,674</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investments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2,962</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(458</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15,374</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19,022</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(25,379</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(1,535</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(Loss)/Gain from equity method investments</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(5,780</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2,982</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72,974</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11,337</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6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(10,792</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(4,237</w:t>
            </w:r>
          </w:p>
        </w:tc>
        <w:tc>
          <w:tcPr>
            <w:tcW w:w="159"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New Oriental Education &amp; Technology Group Inc.’s shareholders</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62,182</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7,100</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6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New Oriental-Basic (note 2)</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0.04</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0.00</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New Oriental-Diluted (note 2)</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0.04</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0.00</w:t>
            </w:r>
          </w:p>
        </w:tc>
        <w:tc>
          <w:tcPr>
            <w:tcW w:w="159"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ADS attributable to New Oriental-Basic (note 2)</w:t>
            </w:r>
          </w:p>
        </w:tc>
        <w:tc>
          <w:tcPr>
            <w:tcW w:w="2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0.40</w:t>
            </w:r>
          </w:p>
        </w:tc>
        <w:tc>
          <w:tcPr>
            <w:tcW w:w="2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6" w:type="dxa"/>
            <w:tcBorders/>
            <w:vAlign w:val="bottom"/>
          </w:tcPr>
          <w:p>
            <w:pPr>
              <w:pStyle w:val="TableContents"/>
              <w:bidi w:val="0"/>
              <w:spacing w:before="0" w:after="283"/>
              <w:jc w:val="right"/>
              <w:rPr/>
            </w:pPr>
            <w:r>
              <w:rPr/>
              <w:t>0.04</w:t>
            </w:r>
          </w:p>
        </w:tc>
        <w:tc>
          <w:tcPr>
            <w:tcW w:w="159" w:type="dxa"/>
            <w:tcBorders/>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ADS attributable to New Oriental-Diluted (note 2)</w:t>
            </w:r>
          </w:p>
        </w:tc>
        <w:tc>
          <w:tcPr>
            <w:tcW w:w="2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0.39</w:t>
            </w:r>
          </w:p>
        </w:tc>
        <w:tc>
          <w:tcPr>
            <w:tcW w:w="2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6" w:type="dxa"/>
            <w:tcBorders/>
            <w:shd w:fill="CCEEFF" w:val="clear"/>
            <w:vAlign w:val="bottom"/>
          </w:tcPr>
          <w:p>
            <w:pPr>
              <w:pStyle w:val="TableContents"/>
              <w:bidi w:val="0"/>
              <w:spacing w:before="0" w:after="283"/>
              <w:jc w:val="right"/>
              <w:rPr/>
            </w:pPr>
            <w:r>
              <w:rPr/>
              <w:t>0.04</w:t>
            </w:r>
          </w:p>
        </w:tc>
        <w:tc>
          <w:tcPr>
            <w:tcW w:w="15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RECONCILIATIONS OF NON-GAAP MEASURES TO THE MOST COMPARABLE GAAP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per share and per ADS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6"/>
        <w:gridCol w:w="157"/>
        <w:gridCol w:w="70"/>
        <w:gridCol w:w="1833"/>
        <w:gridCol w:w="326"/>
        <w:gridCol w:w="116"/>
        <w:gridCol w:w="70"/>
        <w:gridCol w:w="1838"/>
        <w:gridCol w:w="289"/>
      </w:tblGrid>
      <w:tr>
        <w:trPr/>
        <w:tc>
          <w:tcPr>
            <w:tcW w:w="550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May 31</w:t>
            </w:r>
          </w:p>
        </w:tc>
        <w:tc>
          <w:tcPr>
            <w:tcW w:w="28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03" w:type="dxa"/>
            <w:gridSpan w:val="2"/>
            <w:tcBorders/>
            <w:vAlign w:val="bottom"/>
          </w:tcPr>
          <w:p>
            <w:pPr>
              <w:pStyle w:val="TableContents"/>
              <w:bidi w:val="0"/>
              <w:spacing w:before="0" w:after="283"/>
              <w:jc w:val="center"/>
              <w:rPr>
                <w:b/>
              </w:rPr>
            </w:pPr>
            <w:r>
              <w:rPr>
                <w:b/>
              </w:rPr>
              <w:t>(Unaudited)</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08" w:type="dxa"/>
            <w:gridSpan w:val="2"/>
            <w:tcBorders/>
            <w:vAlign w:val="bottom"/>
          </w:tcPr>
          <w:p>
            <w:pPr>
              <w:pStyle w:val="TableContents"/>
              <w:bidi w:val="0"/>
              <w:spacing w:before="0" w:after="283"/>
              <w:jc w:val="center"/>
              <w:rPr>
                <w:b/>
              </w:rPr>
            </w:pPr>
            <w:r>
              <w:rPr>
                <w:b/>
              </w:rPr>
              <w:t>(Unaudited)</w:t>
            </w:r>
          </w:p>
        </w:tc>
        <w:tc>
          <w:tcPr>
            <w:tcW w:w="28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08"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income/(loss)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85,797</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(8,674</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22,711</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28,636</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resulting from business acquisitions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1,502</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1,417</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60,299</w:t>
            </w:r>
          </w:p>
        </w:tc>
        <w:tc>
          <w:tcPr>
            <w:tcW w:w="28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110,010</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81,678</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5.6</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-0.7</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margin</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7.2</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6.6</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62,182</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7,100</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21,173</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27,174</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investments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(2,962</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458</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resulting from business acquisitions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931</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878</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Loss/(Gain) from equity method investments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5,780</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(2,982</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long-term investments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4,865</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60,299</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Loss/(Gain) on disposals of investments and others</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163</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(184</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Tax effects on Non-GAAP adjustments</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493</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475</w:t>
            </w:r>
          </w:p>
        </w:tc>
        <w:tc>
          <w:tcPr>
            <w:tcW w:w="28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New Oriental</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87,760</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98,083</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Basic (note 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0.40</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0.04</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Diluted (note 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0.39</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0.04</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Basic (note 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0.56</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0.62</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Diluted (note 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0.55</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0.61</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basic net income per ADS (note 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1,560,309,964</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1,587,987,886</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diluted net income per ADS (note 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1,582,646,432</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1,602,366,310</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 basic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0.04</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0.00</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 - diluted</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0.04</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0.00</w:t>
            </w:r>
          </w:p>
        </w:tc>
        <w:tc>
          <w:tcPr>
            <w:tcW w:w="28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share - basic</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0.06</w:t>
            </w:r>
          </w:p>
        </w:tc>
        <w:tc>
          <w:tcPr>
            <w:tcW w:w="32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0.06</w:t>
            </w:r>
          </w:p>
        </w:tc>
        <w:tc>
          <w:tcPr>
            <w:tcW w:w="28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share - diluted</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0.06</w:t>
            </w:r>
          </w:p>
        </w:tc>
        <w:tc>
          <w:tcPr>
            <w:tcW w:w="32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0.06</w:t>
            </w:r>
          </w:p>
        </w:tc>
        <w:tc>
          <w:tcPr>
            <w:tcW w:w="28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Note 1: Share-based compensation expenses (in thousands) are included in the operating cost and expenses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2"/>
        <w:gridCol w:w="389"/>
        <w:gridCol w:w="138"/>
        <w:gridCol w:w="1583"/>
        <w:gridCol w:w="138"/>
        <w:gridCol w:w="528"/>
        <w:gridCol w:w="138"/>
        <w:gridCol w:w="1586"/>
        <w:gridCol w:w="63"/>
      </w:tblGrid>
      <w:tr>
        <w:trPr/>
        <w:tc>
          <w:tcPr>
            <w:tcW w:w="3192"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92"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41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May 31</w:t>
            </w:r>
          </w:p>
        </w:tc>
        <w:tc>
          <w:tcPr>
            <w:tcW w:w="63"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8"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7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721" w:type="dxa"/>
            <w:gridSpan w:val="2"/>
            <w:tcBorders/>
            <w:vAlign w:val="bottom"/>
          </w:tcPr>
          <w:p>
            <w:pPr>
              <w:pStyle w:val="TableContents"/>
              <w:bidi w:val="0"/>
              <w:spacing w:before="0" w:after="283"/>
              <w:jc w:val="center"/>
              <w:rPr>
                <w:b/>
              </w:rPr>
            </w:pPr>
            <w:r>
              <w:rPr>
                <w:b/>
              </w:rPr>
              <w:t>(Unaudited)</w:t>
            </w:r>
          </w:p>
        </w:tc>
        <w:tc>
          <w:tcPr>
            <w:tcW w:w="138"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724" w:type="dxa"/>
            <w:gridSpan w:val="2"/>
            <w:tcBorders/>
            <w:vAlign w:val="bottom"/>
          </w:tcPr>
          <w:p>
            <w:pPr>
              <w:pStyle w:val="TableContents"/>
              <w:bidi w:val="0"/>
              <w:spacing w:before="0" w:after="283"/>
              <w:jc w:val="center"/>
              <w:rPr>
                <w:b/>
              </w:rPr>
            </w:pPr>
            <w:r>
              <w:rPr>
                <w:b/>
              </w:rPr>
              <w:t>(Unaudited)</w:t>
            </w:r>
          </w:p>
        </w:tc>
        <w:tc>
          <w:tcPr>
            <w:tcW w:w="63"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38"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724"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63" w:type="dxa"/>
            <w:tcBorders/>
            <w:vAlign w:val="bottom"/>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243</w:t>
            </w:r>
          </w:p>
        </w:tc>
        <w:tc>
          <w:tcPr>
            <w:tcW w:w="138"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477</w:t>
            </w:r>
          </w:p>
        </w:tc>
        <w:tc>
          <w:tcPr>
            <w:tcW w:w="63" w:type="dxa"/>
            <w:tcBorders/>
            <w:shd w:fill="CCEEFF" w:val="clear"/>
            <w:vAlign w:val="bottom"/>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2,310</w:t>
            </w:r>
          </w:p>
        </w:tc>
        <w:tc>
          <w:tcPr>
            <w:tcW w:w="138"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right"/>
              <w:rPr/>
            </w:pPr>
            <w:r>
              <w:rPr/>
              <w:t>1,275</w:t>
            </w:r>
          </w:p>
        </w:tc>
        <w:tc>
          <w:tcPr>
            <w:tcW w:w="63" w:type="dxa"/>
            <w:tcBorders/>
            <w:vAlign w:val="bottom"/>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20,158</w:t>
            </w:r>
          </w:p>
        </w:tc>
        <w:tc>
          <w:tcPr>
            <w:tcW w:w="138"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26,884</w:t>
            </w:r>
          </w:p>
        </w:tc>
        <w:tc>
          <w:tcPr>
            <w:tcW w:w="63" w:type="dxa"/>
            <w:tcBorders/>
            <w:shd w:fill="CCEEFF" w:val="clear"/>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583" w:type="dxa"/>
            <w:tcBorders/>
            <w:vAlign w:val="bottom"/>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5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22,711</w:t>
            </w:r>
          </w:p>
        </w:tc>
        <w:tc>
          <w:tcPr>
            <w:tcW w:w="138"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right"/>
              <w:rPr/>
            </w:pPr>
            <w:r>
              <w:rPr/>
              <w:t>28,636</w:t>
            </w:r>
          </w:p>
        </w:tc>
        <w:tc>
          <w:tcPr>
            <w:tcW w:w="63"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1583" w:type="dxa"/>
            <w:tcBorders/>
            <w:vAlign w:val="bottom"/>
          </w:tcPr>
          <w:p>
            <w:pPr>
              <w:pStyle w:val="TableContents"/>
              <w:pBdr>
                <w:top w:val="double" w:sz="6"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528"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15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2: Each ADS represents ten common shares.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20"/>
        <w:gridCol w:w="283"/>
        <w:gridCol w:w="100"/>
        <w:gridCol w:w="1654"/>
        <w:gridCol w:w="264"/>
        <w:gridCol w:w="268"/>
        <w:gridCol w:w="100"/>
        <w:gridCol w:w="1657"/>
        <w:gridCol w:w="159"/>
      </w:tblGrid>
      <w:tr>
        <w:trPr/>
        <w:tc>
          <w:tcPr>
            <w:tcW w:w="572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40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May 31</w:t>
            </w:r>
          </w:p>
        </w:tc>
        <w:tc>
          <w:tcPr>
            <w:tcW w:w="159"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754" w:type="dxa"/>
            <w:gridSpan w:val="2"/>
            <w:tcBorders/>
            <w:vAlign w:val="bottom"/>
          </w:tcPr>
          <w:p>
            <w:pPr>
              <w:pStyle w:val="TableContents"/>
              <w:bidi w:val="0"/>
              <w:spacing w:before="0" w:after="283"/>
              <w:jc w:val="center"/>
              <w:rPr>
                <w:b/>
              </w:rPr>
            </w:pPr>
            <w:r>
              <w:rPr>
                <w:b/>
              </w:rPr>
              <w:t>(Unaudited)</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57" w:type="dxa"/>
            <w:gridSpan w:val="2"/>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754"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59" w:type="dxa"/>
            <w:tcBorders/>
            <w:vAlign w:val="bottom"/>
          </w:tcPr>
          <w:p>
            <w:pPr>
              <w:pStyle w:val="TableContents"/>
              <w:bidi w:val="0"/>
              <w:spacing w:before="0" w:after="283"/>
              <w:jc w:val="left"/>
              <w:rPr/>
            </w:pPr>
            <w:r>
              <w:rPr/>
              <w:t> </w:t>
            </w:r>
          </w:p>
        </w:tc>
      </w:tr>
      <w:tr>
        <w:trPr/>
        <w:tc>
          <w:tcPr>
            <w:tcW w:w="5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8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518,749</w:t>
            </w:r>
          </w:p>
        </w:tc>
        <w:tc>
          <w:tcPr>
            <w:tcW w:w="26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399,122</w:t>
            </w:r>
          </w:p>
        </w:tc>
        <w:tc>
          <w:tcPr>
            <w:tcW w:w="159" w:type="dxa"/>
            <w:tcBorders/>
            <w:shd w:fill="CCEEFF" w:val="clear"/>
            <w:vAlign w:val="bottom"/>
          </w:tcPr>
          <w:p>
            <w:pPr>
              <w:pStyle w:val="TableContents"/>
              <w:bidi w:val="0"/>
              <w:spacing w:before="0" w:after="283"/>
              <w:jc w:val="left"/>
              <w:rPr/>
            </w:pPr>
            <w:r>
              <w:rPr/>
              <w:t> </w:t>
            </w:r>
          </w:p>
        </w:tc>
      </w:tr>
      <w:tr>
        <w:trPr/>
        <w:tc>
          <w:tcPr>
            <w:tcW w:w="572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8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(332,125</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(88,292</w:t>
            </w:r>
          </w:p>
        </w:tc>
        <w:tc>
          <w:tcPr>
            <w:tcW w:w="159" w:type="dxa"/>
            <w:tcBorders/>
            <w:vAlign w:val="bottom"/>
          </w:tcPr>
          <w:p>
            <w:pPr>
              <w:pStyle w:val="TableContents"/>
              <w:bidi w:val="0"/>
              <w:spacing w:before="0" w:after="283"/>
              <w:jc w:val="left"/>
              <w:rPr/>
            </w:pPr>
            <w:r>
              <w:rPr/>
              <w:t>) </w:t>
            </w:r>
          </w:p>
        </w:tc>
      </w:tr>
      <w:tr>
        <w:trPr/>
        <w:tc>
          <w:tcPr>
            <w:tcW w:w="5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8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(152,720</w:t>
            </w:r>
          </w:p>
        </w:tc>
        <w:tc>
          <w:tcPr>
            <w:tcW w:w="26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(98,477</w:t>
            </w:r>
          </w:p>
        </w:tc>
        <w:tc>
          <w:tcPr>
            <w:tcW w:w="159" w:type="dxa"/>
            <w:tcBorders/>
            <w:shd w:fill="CCEEFF" w:val="clear"/>
            <w:vAlign w:val="bottom"/>
          </w:tcPr>
          <w:p>
            <w:pPr>
              <w:pStyle w:val="TableContents"/>
              <w:bidi w:val="0"/>
              <w:spacing w:before="0" w:after="283"/>
              <w:jc w:val="left"/>
              <w:rPr/>
            </w:pPr>
            <w:r>
              <w:rPr/>
              <w:t>) </w:t>
            </w:r>
          </w:p>
        </w:tc>
      </w:tr>
      <w:tr>
        <w:trPr/>
        <w:tc>
          <w:tcPr>
            <w:tcW w:w="572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28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25,789</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15,503</w:t>
            </w:r>
          </w:p>
        </w:tc>
        <w:tc>
          <w:tcPr>
            <w:tcW w:w="159"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28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59,693</w:t>
            </w:r>
          </w:p>
        </w:tc>
        <w:tc>
          <w:tcPr>
            <w:tcW w:w="26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227,856</w:t>
            </w:r>
          </w:p>
        </w:tc>
        <w:tc>
          <w:tcPr>
            <w:tcW w:w="159" w:type="dxa"/>
            <w:tcBorders/>
            <w:shd w:fill="CCEEFF" w:val="clear"/>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6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beginning of period</w:t>
            </w:r>
          </w:p>
        </w:tc>
        <w:tc>
          <w:tcPr>
            <w:tcW w:w="28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2,036,797</w:t>
            </w:r>
          </w:p>
        </w:tc>
        <w:tc>
          <w:tcPr>
            <w:tcW w:w="26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1,589,277</w:t>
            </w:r>
          </w:p>
        </w:tc>
        <w:tc>
          <w:tcPr>
            <w:tcW w:w="159" w:type="dxa"/>
            <w:tcBorders/>
            <w:vAlign w:val="bottom"/>
          </w:tcPr>
          <w:p>
            <w:pPr>
              <w:pStyle w:val="TableContents"/>
              <w:bidi w:val="0"/>
              <w:spacing w:before="0" w:after="283"/>
              <w:jc w:val="left"/>
              <w:rPr/>
            </w:pPr>
            <w:r>
              <w:rPr/>
              <w:t> </w:t>
            </w:r>
          </w:p>
        </w:tc>
      </w:tr>
      <w:tr>
        <w:trPr/>
        <w:tc>
          <w:tcPr>
            <w:tcW w:w="5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28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2,096,490</w:t>
            </w:r>
          </w:p>
        </w:tc>
        <w:tc>
          <w:tcPr>
            <w:tcW w:w="26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1,817,133</w:t>
            </w:r>
          </w:p>
        </w:tc>
        <w:tc>
          <w:tcPr>
            <w:tcW w:w="15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per share and per ADS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7"/>
        <w:gridCol w:w="149"/>
        <w:gridCol w:w="75"/>
        <w:gridCol w:w="1250"/>
        <w:gridCol w:w="200"/>
        <w:gridCol w:w="118"/>
        <w:gridCol w:w="75"/>
        <w:gridCol w:w="1253"/>
        <w:gridCol w:w="158"/>
      </w:tblGrid>
      <w:tr>
        <w:trPr/>
        <w:tc>
          <w:tcPr>
            <w:tcW w:w="6927"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 May 31</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center"/>
              <w:rPr>
                <w:b/>
              </w:rPr>
            </w:pPr>
            <w:r>
              <w:rPr>
                <w:b/>
              </w:rPr>
              <w:t>(Unaudited)</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b/>
              </w:rPr>
            </w:pPr>
            <w:r>
              <w:rPr>
                <w:b/>
              </w:rPr>
              <w:t>(Audited)</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5,661,294</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4,900,262</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cost and expenses (note 1)</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2,568,167</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2,183,291</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855,864</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783,959</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1,594,012</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1,444,463</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60,299</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cost and expenses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5,018,043</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4,472,012</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643,251</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428,250</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from fair value change of investments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10,613</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(10,078</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76,685</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118,212</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(196,111</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(146,294</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(17,777</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(14,257</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516,661</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375,833</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(41,489</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(4,117</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New Oriental Education &amp; Technology Group Inc.’s shareholders</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475,172</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371,716</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New Oriental-Basic (note 2)</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0.30</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0.23</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New Oriental-Diluted (note 2)</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0.30</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0.23</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ADS attributable to New Oriental-Basic (note 2)</w:t>
            </w:r>
          </w:p>
        </w:tc>
        <w:tc>
          <w:tcPr>
            <w:tcW w:w="14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3.01</w:t>
            </w:r>
          </w:p>
        </w:tc>
        <w:tc>
          <w:tcPr>
            <w:tcW w:w="20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2.29</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ADS attributable to New Oriental-Diluted (note 2)</w:t>
            </w:r>
          </w:p>
        </w:tc>
        <w:tc>
          <w:tcPr>
            <w:tcW w:w="14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2.97</w:t>
            </w:r>
          </w:p>
        </w:tc>
        <w:tc>
          <w:tcPr>
            <w:tcW w:w="20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2.28</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MEASURES TO THE MOST COMPARABLE GAAP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per share and per ADS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0"/>
        <w:gridCol w:w="262"/>
        <w:gridCol w:w="60"/>
        <w:gridCol w:w="1404"/>
        <w:gridCol w:w="277"/>
        <w:gridCol w:w="176"/>
        <w:gridCol w:w="60"/>
        <w:gridCol w:w="1404"/>
        <w:gridCol w:w="282"/>
      </w:tblGrid>
      <w:tr>
        <w:trPr/>
        <w:tc>
          <w:tcPr>
            <w:tcW w:w="383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3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 May 31</w:t>
            </w:r>
          </w:p>
        </w:tc>
        <w:tc>
          <w:tcPr>
            <w:tcW w:w="282"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b/>
              </w:rPr>
            </w:pPr>
            <w:r>
              <w:rPr>
                <w:b/>
              </w:rPr>
              <w:t>(Unaudited)</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b/>
              </w:rPr>
            </w:pPr>
            <w:r>
              <w:rPr>
                <w:b/>
              </w:rPr>
              <w:t>(Unaudited)</w:t>
            </w:r>
          </w:p>
        </w:tc>
        <w:tc>
          <w:tcPr>
            <w:tcW w:w="282"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643,251</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428,250</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88,466</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59,933</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resulting from business acquisitions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5,851</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5,746</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60,299</w:t>
            </w:r>
          </w:p>
        </w:tc>
        <w:tc>
          <w:tcPr>
            <w:tcW w:w="282"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737,568</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554,228</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11.4</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8.7</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operating margin</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13.0</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11.3</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New Oriental</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475,172</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371,716</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84,257</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54,829</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fair value change of investments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(10,613</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10,078</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resulting from business acquisitions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3,627</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3,581</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17,777</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14,257</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long-term investments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4,865</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60,299</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disposals of investments and others</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(1,353</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(345</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Tax effects on Non-GAAP adjustments</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2,239</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(2,209</w:t>
            </w:r>
          </w:p>
        </w:tc>
        <w:tc>
          <w:tcPr>
            <w:tcW w:w="282"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New Oriental</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571,106</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517,071</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 Basic (note 2)</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3.01</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2.29</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ADS attributable to New Oriental- Diluted (note 2)</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2.97</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2.28</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Basic (note 2)</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3.62</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3.19</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ADS attributable to New Oriental - Diluted (note 2)</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3.57</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3.17</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basic net income per ADS (note 2)</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1,578,483,794</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1,619,727,518</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diluted net income per ADS (note 2)</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1,595,505,635</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1,631,137,164</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 basic</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0.30</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0.23</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 - diluted</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0.30</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0.23</w:t>
            </w:r>
          </w:p>
        </w:tc>
        <w:tc>
          <w:tcPr>
            <w:tcW w:w="282"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per share - basic</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0.36</w:t>
            </w:r>
          </w:p>
        </w:tc>
        <w:tc>
          <w:tcPr>
            <w:tcW w:w="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0.32</w:t>
            </w:r>
          </w:p>
        </w:tc>
        <w:tc>
          <w:tcPr>
            <w:tcW w:w="282"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per share - diluted</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0.36</w:t>
            </w:r>
          </w:p>
        </w:tc>
        <w:tc>
          <w:tcPr>
            <w:tcW w:w="277"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0.32</w:t>
            </w:r>
          </w:p>
        </w:tc>
        <w:tc>
          <w:tcPr>
            <w:tcW w:w="282"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Note 1: Share-based compensation expenses (in thousands) are included in the operating costs and expenses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4"/>
        <w:gridCol w:w="311"/>
        <w:gridCol w:w="104"/>
        <w:gridCol w:w="1191"/>
        <w:gridCol w:w="104"/>
        <w:gridCol w:w="384"/>
        <w:gridCol w:w="104"/>
        <w:gridCol w:w="1195"/>
        <w:gridCol w:w="158"/>
      </w:tblGrid>
      <w:tr>
        <w:trPr/>
        <w:tc>
          <w:tcPr>
            <w:tcW w:w="420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0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 May 31</w:t>
            </w:r>
          </w:p>
        </w:tc>
        <w:tc>
          <w:tcPr>
            <w:tcW w:w="158" w:type="dxa"/>
            <w:tcBorders/>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center"/>
              <w:rPr>
                <w:b/>
              </w:rPr>
            </w:pPr>
            <w:r>
              <w:rPr>
                <w:b/>
              </w:rPr>
              <w:t>(Unaudited)</w:t>
            </w:r>
          </w:p>
        </w:tc>
        <w:tc>
          <w:tcPr>
            <w:tcW w:w="10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bidi w:val="0"/>
              <w:spacing w:before="0" w:after="283"/>
              <w:jc w:val="center"/>
              <w:rPr>
                <w:b/>
              </w:rPr>
            </w:pPr>
            <w:r>
              <w:rPr>
                <w:b/>
              </w:rPr>
              <w:t>(Audited)</w:t>
            </w:r>
          </w:p>
        </w:tc>
        <w:tc>
          <w:tcPr>
            <w:tcW w:w="158" w:type="dxa"/>
            <w:tcBorders/>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0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58"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909</w:t>
            </w:r>
          </w:p>
        </w:tc>
        <w:tc>
          <w:tcPr>
            <w:tcW w:w="104"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(1,261</w:t>
            </w:r>
          </w:p>
        </w:tc>
        <w:tc>
          <w:tcPr>
            <w:tcW w:w="158"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31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4,228</w:t>
            </w:r>
          </w:p>
        </w:tc>
        <w:tc>
          <w:tcPr>
            <w:tcW w:w="10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4,658</w:t>
            </w:r>
          </w:p>
        </w:tc>
        <w:tc>
          <w:tcPr>
            <w:tcW w:w="158"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83,329</w:t>
            </w:r>
          </w:p>
        </w:tc>
        <w:tc>
          <w:tcPr>
            <w:tcW w:w="104"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56,536</w:t>
            </w:r>
          </w:p>
        </w:tc>
        <w:tc>
          <w:tcPr>
            <w:tcW w:w="158" w:type="dxa"/>
            <w:tcBorders/>
            <w:shd w:fill="CCEEFF" w:val="clear"/>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88,466</w:t>
            </w:r>
          </w:p>
        </w:tc>
        <w:tc>
          <w:tcPr>
            <w:tcW w:w="104"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59,933</w:t>
            </w:r>
          </w:p>
        </w:tc>
        <w:tc>
          <w:tcPr>
            <w:tcW w:w="158" w:type="dxa"/>
            <w:tcBorders/>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2: Each ADS represents ten common shares.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152"/>
        <w:gridCol w:w="75"/>
        <w:gridCol w:w="1240"/>
        <w:gridCol w:w="199"/>
        <w:gridCol w:w="123"/>
        <w:gridCol w:w="75"/>
        <w:gridCol w:w="1243"/>
        <w:gridCol w:w="160"/>
      </w:tblGrid>
      <w:tr>
        <w:trPr/>
        <w:tc>
          <w:tcPr>
            <w:tcW w:w="6938"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 May 31</w:t>
            </w:r>
          </w:p>
        </w:tc>
        <w:tc>
          <w:tcPr>
            <w:tcW w:w="160"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center"/>
              <w:rPr>
                <w:b/>
              </w:rPr>
            </w:pPr>
            <w:r>
              <w:rPr>
                <w:b/>
              </w:rPr>
              <w:t>(Unaudited)</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center"/>
              <w:rPr>
                <w:b/>
              </w:rPr>
            </w:pPr>
            <w:r>
              <w:rPr>
                <w:b/>
              </w:rPr>
              <w:t>(Audited)</w:t>
            </w:r>
          </w:p>
        </w:tc>
        <w:tc>
          <w:tcPr>
            <w:tcW w:w="160"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t>USD</w:t>
            </w:r>
          </w:p>
        </w:tc>
        <w:tc>
          <w:tcPr>
            <w:tcW w:w="160"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5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1,027,080</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896,592</w:t>
            </w:r>
          </w:p>
        </w:tc>
        <w:tc>
          <w:tcPr>
            <w:tcW w:w="160"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(457,701</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(93,428</w:t>
            </w:r>
          </w:p>
        </w:tc>
        <w:tc>
          <w:tcPr>
            <w:tcW w:w="160"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5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(380,153</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(584,971</w:t>
            </w:r>
          </w:p>
        </w:tc>
        <w:tc>
          <w:tcPr>
            <w:tcW w:w="160"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1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90,131</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9,836</w:t>
            </w:r>
          </w:p>
        </w:tc>
        <w:tc>
          <w:tcPr>
            <w:tcW w:w="160"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15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279,357</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228,029</w:t>
            </w:r>
          </w:p>
        </w:tc>
        <w:tc>
          <w:tcPr>
            <w:tcW w:w="160"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beginning of period</w:t>
            </w:r>
          </w:p>
        </w:tc>
        <w:tc>
          <w:tcPr>
            <w:tcW w:w="1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1,817,133</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1,589,104</w:t>
            </w:r>
          </w:p>
        </w:tc>
        <w:tc>
          <w:tcPr>
            <w:tcW w:w="160"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15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2,096,490</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1,817,133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5268</Words>
  <Characters>30447</Characters>
  <CharactersWithSpaces>37098</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