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7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7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5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For the month of October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001-32993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left="1020"/>
        <w:spacing w:after="0" w:line="276" w:lineRule="auto"/>
        <w:rPr>
          <w:sz w:val="20"/>
          <w:szCs w:val="20"/>
          <w:color w:val="auto"/>
        </w:rPr>
      </w:pPr>
      <w:r>
        <w:rPr>
          <w:rFonts w:ascii="Arial" w:cs="Arial" w:eastAsia="Arial" w:hAnsi="Arial"/>
          <w:sz w:val="43"/>
          <w:szCs w:val="43"/>
          <w:b w:val="1"/>
          <w:bCs w:val="1"/>
          <w:color w:val="auto"/>
        </w:rPr>
        <w:t>NEW ORIENTAL EDUCATION &amp; TECHNOLOGY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162560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No. 6 Hai Dian Zhong Street</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Haidian District</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Beijing 100080, People’s Republic of China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07" w:lineRule="exact"/>
        <w:rPr>
          <w:sz w:val="24"/>
          <w:szCs w:val="24"/>
          <w:color w:val="auto"/>
        </w:rPr>
      </w:pPr>
    </w:p>
    <w:p>
      <w:pPr>
        <w:ind w:left="4200"/>
        <w:spacing w:after="0" w:line="207" w:lineRule="exact"/>
        <w:rPr>
          <w:sz w:val="20"/>
          <w:szCs w:val="20"/>
          <w:color w:val="auto"/>
        </w:rPr>
      </w:pPr>
      <w:r>
        <w:rPr>
          <w:rFonts w:ascii="Arial" w:cs="Arial" w:eastAsia="Arial" w:hAnsi="Arial"/>
          <w:sz w:val="18"/>
          <w:szCs w:val="18"/>
          <w:color w:val="auto"/>
        </w:rPr>
        <w:t>Form 20-F </w:t>
      </w:r>
      <w:r>
        <w:rPr>
          <w:rFonts w:ascii="MS PGothic" w:cs="MS PGothic" w:eastAsia="MS PGothic" w:hAnsi="MS PGothic"/>
          <w:sz w:val="18"/>
          <w:szCs w:val="18"/>
          <w:color w:val="auto"/>
        </w:rPr>
        <w:t>☑</w:t>
      </w:r>
      <w:r>
        <w:rPr>
          <w:rFonts w:ascii="Arial" w:cs="Arial" w:eastAsia="Arial" w:hAnsi="Arial"/>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420"/>
          </w:cols>
          <w:pgMar w:left="440" w:top="382"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Exhibit 99.1 – </w:t>
      </w:r>
      <w:r>
        <w:rPr>
          <w:rFonts w:ascii="Arial" w:cs="Arial" w:eastAsia="Arial" w:hAnsi="Arial"/>
          <w:sz w:val="16"/>
          <w:szCs w:val="16"/>
          <w:u w:val="single" w:color="auto"/>
          <w:color w:val="0000EE"/>
        </w:rPr>
        <w:t>Press Release – New Oriental Announces Results for the First Fiscal Quarter Ended August 31, 2023</w:t>
      </w:r>
    </w:p>
    <w:p>
      <w:pPr>
        <w:sectPr>
          <w:pgSz w:w="11900" w:h="16838" w:orient="portrait"/>
          <w:cols w:equalWidth="0" w:num="1">
            <w:col w:w="10019"/>
          </w:cols>
          <w:pgMar w:left="440" w:top="270" w:right="1440"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Oriental Education &amp; Technology Group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Zhihui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Zhihui Yang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Executive President and Chief Financial Officer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ectPr>
          <w:pgSz w:w="11900" w:h="16838" w:orient="portrait"/>
          <w:cols w:equalWidth="0" w:num="1">
            <w:col w:w="10700"/>
          </w:cols>
          <w:pgMar w:left="440" w:top="274"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New Oriental Announces Results for the First Fiscal Quarter Ended August 31, 2023</w:t>
      </w:r>
    </w:p>
    <w:p>
      <w:pPr>
        <w:spacing w:after="0" w:line="225" w:lineRule="exact"/>
        <w:rPr>
          <w:sz w:val="20"/>
          <w:szCs w:val="20"/>
          <w:color w:val="auto"/>
        </w:rPr>
      </w:pPr>
    </w:p>
    <w:p>
      <w:pPr>
        <w:jc w:val="both"/>
        <w:ind w:left="4" w:right="580"/>
        <w:spacing w:after="0" w:line="266" w:lineRule="auto"/>
        <w:rPr>
          <w:sz w:val="20"/>
          <w:szCs w:val="20"/>
          <w:color w:val="auto"/>
        </w:rPr>
      </w:pPr>
      <w:r>
        <w:rPr>
          <w:rFonts w:ascii="Arial" w:cs="Arial" w:eastAsia="Arial" w:hAnsi="Arial"/>
          <w:sz w:val="18"/>
          <w:szCs w:val="18"/>
          <w:color w:val="auto"/>
        </w:rPr>
        <w:t xml:space="preserve">BEIJING, Oct. 25, 2023 /PRNewswire/ </w:t>
      </w:r>
      <w:r>
        <w:rPr>
          <w:rFonts w:ascii="Arial" w:cs="Arial" w:eastAsia="Arial" w:hAnsi="Arial"/>
          <w:sz w:val="18"/>
          <w:szCs w:val="18"/>
          <w:b w:val="1"/>
          <w:bCs w:val="1"/>
          <w:color w:val="auto"/>
        </w:rPr>
        <w:t>–</w:t>
      </w:r>
      <w:r>
        <w:rPr>
          <w:rFonts w:ascii="Arial" w:cs="Arial" w:eastAsia="Arial" w:hAnsi="Arial"/>
          <w:sz w:val="18"/>
          <w:szCs w:val="18"/>
          <w:color w:val="auto"/>
        </w:rPr>
        <w:t xml:space="preserve"> New Oriental Education &amp; Technology Group Inc. (the “Company” or “New Oriental”) (NYSE: EDU/ 9901.SEHK), a provider of private educational services in China, today announced its unaudited financial results for the first fiscal quarter ended August 31, 2023, which is the first quarter of New Oriental’s fiscal year 2024.</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Financial Highlights for the First Fiscal Quarter Ended August 31, 2023</w:t>
      </w:r>
    </w:p>
    <w:p>
      <w:pPr>
        <w:spacing w:after="0" w:line="135" w:lineRule="exact"/>
        <w:rPr>
          <w:sz w:val="20"/>
          <w:szCs w:val="20"/>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net revenues increased by 47.7% year over year to US$1,100.0 million for the first fiscal quarter of 2024.</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increased by 163.0% year over year to US$205.1 million for the first fiscal quarter of 2024.</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7"/>
          <w:szCs w:val="17"/>
          <w:color w:val="auto"/>
        </w:rPr>
      </w:pPr>
      <w:r>
        <w:rPr>
          <w:rFonts w:ascii="Arial" w:cs="Arial" w:eastAsia="Arial" w:hAnsi="Arial"/>
          <w:sz w:val="17"/>
          <w:szCs w:val="17"/>
          <w:color w:val="auto"/>
        </w:rPr>
        <w:t>Net income attributable to New Oriental increased by 150.6% year over year to US$165.4 million for the first fiscal quarter of 2024.</w:t>
      </w:r>
    </w:p>
    <w:p>
      <w:pPr>
        <w:spacing w:after="0" w:line="34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Key Financial Results</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4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1Q FY2024</w:t>
            </w:r>
          </w:p>
        </w:tc>
        <w:tc>
          <w:tcPr>
            <w:tcW w:w="10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1Q FY2023</w:t>
            </w:r>
          </w:p>
        </w:tc>
        <w:tc>
          <w:tcPr>
            <w:tcW w:w="820" w:type="dxa"/>
            <w:vAlign w:val="bottom"/>
          </w:tcPr>
          <w:p>
            <w:pPr>
              <w:jc w:val="right"/>
              <w:ind w:right="213"/>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US$, except per ADS</w:t>
            </w:r>
            <w:r>
              <w:rPr>
                <w:rFonts w:ascii="Arial" w:cs="Arial" w:eastAsia="Arial" w:hAnsi="Arial"/>
                <w:sz w:val="10"/>
                <w:szCs w:val="10"/>
                <w:color w:val="auto"/>
              </w:rPr>
              <w:t>(1)</w:t>
            </w:r>
            <w:r>
              <w:rPr>
                <w:rFonts w:ascii="Arial" w:cs="Arial" w:eastAsia="Arial" w:hAnsi="Arial"/>
                <w:sz w:val="14"/>
                <w:szCs w:val="14"/>
                <w:color w:val="auto"/>
              </w:rPr>
              <w:t xml:space="preserve"> data)</w:t>
            </w:r>
          </w:p>
        </w:tc>
        <w:tc>
          <w:tcPr>
            <w:tcW w:w="1420" w:type="dxa"/>
            <w:vAlign w:val="bottom"/>
            <w:tcBorders>
              <w:bottom w:val="single" w:sz="8" w:color="auto"/>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1,100,021</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744,822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Operating income</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205,124</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77,989</w:t>
            </w:r>
          </w:p>
        </w:tc>
        <w:tc>
          <w:tcPr>
            <w:tcW w:w="820" w:type="dxa"/>
            <w:vAlign w:val="bottom"/>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Non-GAAP operating income </w:t>
            </w:r>
            <w:r>
              <w:rPr>
                <w:rFonts w:ascii="Arial" w:cs="Arial" w:eastAsia="Arial" w:hAnsi="Arial"/>
                <w:sz w:val="25"/>
                <w:szCs w:val="25"/>
                <w:color w:val="auto"/>
                <w:vertAlign w:val="superscript"/>
              </w:rPr>
              <w:t>(2)(3)</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244,755</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97,044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income attributable to New Oriental</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165,386</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66,002</w:t>
            </w:r>
          </w:p>
        </w:tc>
        <w:tc>
          <w:tcPr>
            <w:tcW w:w="820" w:type="dxa"/>
            <w:vAlign w:val="bottom"/>
          </w:tcPr>
          <w:p>
            <w:pPr>
              <w:jc w:val="right"/>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Non-GAAP net income attributable to New Oriental </w:t>
            </w:r>
            <w:r>
              <w:rPr>
                <w:rFonts w:ascii="Arial" w:cs="Arial" w:eastAsia="Arial" w:hAnsi="Arial"/>
                <w:sz w:val="25"/>
                <w:szCs w:val="25"/>
                <w:color w:val="auto"/>
                <w:vertAlign w:val="superscript"/>
              </w:rPr>
              <w:t>(2)(3)</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189,318</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83,706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income per ADS attributable to New Oriental - basic</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1.00</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0.39</w:t>
            </w:r>
          </w:p>
        </w:tc>
        <w:tc>
          <w:tcPr>
            <w:tcW w:w="820" w:type="dxa"/>
            <w:vAlign w:val="bottom"/>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ADS attributable to New Oriental - diluted</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0.99</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6000" w:type="dxa"/>
            <w:vAlign w:val="bottom"/>
          </w:tcPr>
          <w:p>
            <w:pPr>
              <w:spacing w:after="0" w:line="216" w:lineRule="exact"/>
              <w:rPr>
                <w:sz w:val="20"/>
                <w:szCs w:val="20"/>
                <w:color w:val="auto"/>
              </w:rPr>
            </w:pPr>
            <w:r>
              <w:rPr>
                <w:rFonts w:ascii="Arial" w:cs="Arial" w:eastAsia="Arial" w:hAnsi="Arial"/>
                <w:sz w:val="17"/>
                <w:szCs w:val="17"/>
                <w:color w:val="auto"/>
              </w:rPr>
              <w:t>Non-GAAP net income per ADS attributable to New Oriental basic</w:t>
            </w:r>
            <w:r>
              <w:rPr>
                <w:rFonts w:ascii="Arial" w:cs="Arial" w:eastAsia="Arial" w:hAnsi="Arial"/>
                <w:sz w:val="25"/>
                <w:szCs w:val="25"/>
                <w:color w:val="auto"/>
                <w:vertAlign w:val="superscript"/>
              </w:rPr>
              <w:t>(2)(3)(4)</w:t>
            </w:r>
          </w:p>
        </w:tc>
        <w:tc>
          <w:tcPr>
            <w:tcW w:w="1420" w:type="dxa"/>
            <w:vAlign w:val="bottom"/>
          </w:tcPr>
          <w:p>
            <w:pPr>
              <w:jc w:val="right"/>
              <w:ind w:right="72"/>
              <w:spacing w:after="0"/>
              <w:rPr>
                <w:sz w:val="20"/>
                <w:szCs w:val="20"/>
                <w:color w:val="auto"/>
              </w:rPr>
            </w:pPr>
            <w:r>
              <w:rPr>
                <w:rFonts w:ascii="Arial" w:cs="Arial" w:eastAsia="Arial" w:hAnsi="Arial"/>
                <w:sz w:val="18"/>
                <w:szCs w:val="18"/>
                <w:color w:val="auto"/>
              </w:rPr>
              <w:t>1.15</w:t>
            </w: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0.49</w:t>
            </w:r>
          </w:p>
        </w:tc>
        <w:tc>
          <w:tcPr>
            <w:tcW w:w="820" w:type="dxa"/>
            <w:vAlign w:val="bottom"/>
          </w:tcPr>
          <w:p>
            <w:pPr>
              <w:jc w:val="right"/>
              <w:spacing w:after="0"/>
              <w:rPr>
                <w:sz w:val="20"/>
                <w:szCs w:val="20"/>
                <w:color w:val="auto"/>
              </w:rPr>
            </w:pPr>
            <w:r>
              <w:rPr>
                <w:rFonts w:ascii="Arial" w:cs="Arial" w:eastAsia="Arial" w:hAnsi="Arial"/>
                <w:sz w:val="18"/>
                <w:szCs w:val="18"/>
                <w:color w:val="auto"/>
              </w:rPr>
              <w:t>133.0%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Non-GAAP net income per ADS attributable to New Oriental diluted</w:t>
            </w:r>
            <w:r>
              <w:rPr>
                <w:rFonts w:ascii="Arial" w:cs="Arial" w:eastAsia="Arial" w:hAnsi="Arial"/>
                <w:sz w:val="25"/>
                <w:szCs w:val="25"/>
                <w:color w:val="auto"/>
                <w:vertAlign w:val="superscript"/>
              </w:rPr>
              <w:t>(2)(3)(4)</w:t>
            </w:r>
          </w:p>
        </w:tc>
        <w:tc>
          <w:tcPr>
            <w:tcW w:w="14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1.13</w:t>
            </w:r>
          </w:p>
        </w:tc>
        <w:tc>
          <w:tcPr>
            <w:tcW w:w="1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Each ADS represents ten common shares. The Hong Kong-listed shares are fully fungible with the ADSs listed on NYSE.</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represents Generally Accepted Accounting Principles in the United States of America.</w:t>
      </w:r>
    </w:p>
    <w:p>
      <w:pPr>
        <w:spacing w:after="0" w:line="9" w:lineRule="exact"/>
        <w:rPr>
          <w:rFonts w:ascii="Arial" w:cs="Arial" w:eastAsia="Arial" w:hAnsi="Arial"/>
          <w:sz w:val="18"/>
          <w:szCs w:val="18"/>
          <w:color w:val="auto"/>
        </w:rPr>
      </w:pPr>
    </w:p>
    <w:p>
      <w:pPr>
        <w:ind w:left="424" w:right="460" w:hanging="424"/>
        <w:spacing w:after="0" w:line="25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Oriental provides net income attributable to New Oriental, operating income and net income per ADS attributable to New Oriental on a non-GAAP basis that excludes share-based compensation expenses and gain / (loss) from fair value change of investments to provide supplemental information regarding its operating performance. For more information on these non-GAAP financial measures, please see the section captioned “About Non-GAAP Financial Measures” and the tables captioned “Reconciliations of Non-GAAP Measures to the Most Comparable GAAP Measures” set forth at the end of this release.</w:t>
      </w:r>
    </w:p>
    <w:p>
      <w:pPr>
        <w:spacing w:after="0" w:line="1" w:lineRule="exact"/>
        <w:rPr>
          <w:rFonts w:ascii="Arial" w:cs="Arial" w:eastAsia="Arial" w:hAnsi="Arial"/>
          <w:sz w:val="18"/>
          <w:szCs w:val="18"/>
          <w:color w:val="auto"/>
        </w:rPr>
      </w:pPr>
    </w:p>
    <w:p>
      <w:pPr>
        <w:ind w:left="424" w:right="80" w:hanging="424"/>
        <w:spacing w:after="0" w:line="260"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Non-GAAP net income per ADS attributable to New Oriental is computed using Non-GAAP net income attributable to New Oriental and the same number of shares and ADSs used in GAAP basic and diluted EPS calculation.</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Operating Highlights for the First Fiscal Quarter Ended August 31, 2023</w:t>
      </w:r>
    </w:p>
    <w:p>
      <w:pPr>
        <w:spacing w:after="0" w:line="135" w:lineRule="exact"/>
        <w:rPr>
          <w:sz w:val="20"/>
          <w:szCs w:val="20"/>
          <w:color w:val="auto"/>
        </w:rPr>
      </w:pPr>
    </w:p>
    <w:p>
      <w:pPr>
        <w:ind w:left="964" w:right="14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number of schools and learning centers was 793 as of August 31, 2023, an increase of 45 and 87 compared to 748 as of May 31, 2023 and 706 as of August 31, 2022, respectively. The total number of schools was 83 as of August 31, 2023.</w:t>
      </w:r>
    </w:p>
    <w:p>
      <w:pPr>
        <w:spacing w:after="0" w:line="170"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Michael Yu, New Oriental’s Executive Chairman, commented, “We are very pleased to begin the fiscal year 2024 with robust top-line growth of 47.7%, which exceeded the high-end of our expected range. Moreover, we achieved a remarkable year-over-year improvement in operating margin. Our overseas test preparation and overseas study consulting businesses also recorded encouraging results with approximately 51.7% and 26.6% growth year over year, respectively. In addition, the domestic test preparation business targeting adults and university students recorded a growth of approximately 25.5% year over year. Furthermore, our new educational business initiatives achieved very promising results in this fiscal quarter, with 103.3% revenue growth year over year. Among these new educational business initiatives, our non-academic tutoring courses were offered in around 60 cities, attracting approximately 438,000 student enrollments in this fiscal quarter; simultaneously, our intelligent learning system and devices have been adopted in around 60 cities, with approximately 181,000 active paid users in this fiscal quarter. After over one year of trial and development, these new businesses started to make meaningful contributions to the Company’s revenue and have become some of the key drivers of growth and margin improvement. We will continue to focus on improving the quality of our product offerings and services, leveraging our brand advantage and rich educational resources to capture these new market opportunities.”</w:t>
      </w:r>
    </w:p>
    <w:p>
      <w:pPr>
        <w:sectPr>
          <w:pgSz w:w="11900" w:h="16838" w:orient="portrait"/>
          <w:cols w:equalWidth="0" w:num="1">
            <w:col w:w="11024"/>
          </w:cols>
          <w:pgMar w:left="436" w:top="121" w:right="439" w:bottom="1440" w:gutter="0" w:footer="0" w:header="0"/>
        </w:sectPr>
      </w:pPr>
    </w:p>
    <w:bookmarkStart w:id="4" w:name="page5"/>
    <w:bookmarkEnd w:id="4"/>
    <w:p>
      <w:pPr>
        <w:ind w:right="140"/>
        <w:spacing w:after="0" w:line="218" w:lineRule="exact"/>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Chenggang Zhou, New Oriental’s Chief Executive Officer, added, “In this fiscal year, we started to moderately expand our capacity in some existing cities with greater growth potential and higher utilization of facilities and profitability. By the end of this fiscal quarter, the total number of schools and learning centers increased to 793. Simultaneously, we continued the investment in maintaining our online-merge-offline teaching system to support the solid recovery of our remaining key businesses and the rapid development of our new educational initiatives. We also invested reasonable resources in research and application of new technologies into our educational and product offerings, with the goal of uplifting our strengths in pursuit of higher quality services and operating efficiency. In this fiscal quarter, East Buy (</w:t>
      </w:r>
      <w:r>
        <w:rPr>
          <w:rFonts w:ascii="SimSun" w:cs="SimSun" w:eastAsia="SimSun" w:hAnsi="SimSun"/>
          <w:sz w:val="16"/>
          <w:szCs w:val="16"/>
          <w:color w:val="auto"/>
        </w:rPr>
        <w:t>东方甄选</w:t>
      </w:r>
      <w:r>
        <w:rPr>
          <w:rFonts w:ascii="Arial" w:cs="Arial" w:eastAsia="Arial" w:hAnsi="Arial"/>
          <w:sz w:val="16"/>
          <w:szCs w:val="16"/>
          <w:color w:val="auto"/>
        </w:rPr>
        <w:t>) also made significant progress in its livestreaming e-commerce business by adopting a multi-platform strategy to reach a wider consumer base and boost brand awareness and influence. It officially launched livestreaming activities on Taobao and its own APP during the quarter. In terms of private label products, it continued to launch new products every month, making breakthroughs in product categories from food and beverages to daily necessities.”</w:t>
      </w:r>
    </w:p>
    <w:p>
      <w:pPr>
        <w:spacing w:after="0" w:line="2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Stephen Zhihui Yang, New Oriental’s Executive President and Chief Financial Officer, commented, “Following last fiscal year’s margin recovery trend, our GAAP operating margin for the quarter was 18.6%, representing an improvement of 810 basis points year over year. Our Non-GAAP operating margin for the quarter were 22.3%, representing an improvement of 930 basis points year over year. We recorded a positive operating cash flow of US$335.8 million for this quarter and by the end of this fiscal quarter, our cash and cash equivalents, term deposits and short-term investments totaled approximately US$4.6 billion. We are committed to maintaining a healthy balance between our growth momentum and cost control, with continued efforts to improve the utilization of our facilities and teaching resources. We are confident of sustaining healthy growth across all business lines while enhancing operational efficiency and creating sustainable value for our customers and shareholders in the long term.”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July 26, 2022, the Company’s board of directors authorized a share repurchase program, under which the Company may repurchase up to</w:t>
      </w:r>
    </w:p>
    <w:p>
      <w:pPr>
        <w:spacing w:after="0" w:line="35"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US$400 million of the Company’s ADSs or common shares during the period from July 28, 2022 through May 31, 2023. The Company’s board of directors further authorized to extend such share repurchase program by twelve months through May 31, 2024. As of October 24, 2023, the Company repurchased an aggregate of approximately 6.0 million ADSs for approximately US$193.3 million from the open market under the share repurchase program.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 for the First Fiscal Quarter Ended August 31,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first fiscal quarter of 2024, New Oriental reported net revenues of US$1,100.0 million, representing a 47.7% increase year over year. The growth was mainly driven by the increase in revenues from our new educational business initiatives and East Buy private label products and livestreaming e-commerce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costs and expenses for the quarter were US$894.9 million, representing a 34.2% increase year over year. Non-GAAP operating costs and expenses for the quarter, which exclude share-based compensation expenses, were US$855.3 million, representing a 32.0% increase year over year. The increase was primarily due to the cost and expenses related to the substantial growth in East Buy private label products and livestreaming e-commerce business.</w:t>
      </w:r>
    </w:p>
    <w:p>
      <w:pPr>
        <w:spacing w:after="0" w:line="88"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increased by 41.4% year over year to US$441.2 million.</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Selling and marketing expenses </w:t>
      </w:r>
      <w:r>
        <w:rPr>
          <w:rFonts w:ascii="Arial" w:cs="Arial" w:eastAsia="Arial" w:hAnsi="Arial"/>
          <w:sz w:val="18"/>
          <w:szCs w:val="18"/>
          <w:color w:val="auto"/>
        </w:rPr>
        <w:t>increased by 37.9% year over year to US$136.1 million.</w:t>
      </w:r>
    </w:p>
    <w:p>
      <w:pPr>
        <w:spacing w:after="0" w:line="130" w:lineRule="exact"/>
        <w:rPr>
          <w:rFonts w:ascii="Arial" w:cs="Arial" w:eastAsia="Arial" w:hAnsi="Arial"/>
          <w:sz w:val="18"/>
          <w:szCs w:val="18"/>
          <w:color w:val="auto"/>
        </w:rPr>
      </w:pPr>
    </w:p>
    <w:p>
      <w:pPr>
        <w:ind w:left="420" w:right="340" w:hanging="316"/>
        <w:spacing w:after="0" w:line="266"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for the quarter increased by 24.0% year over year to US$317.6 million. Non-GAAP general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expenses, which exclude share-based compensation expenses, were US$290.3 million, representing a 22.3% increase year over year.</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share-based compensation expenses, which were allocated to related operating costs and expenses, increased by 108.0% to US$39.6 million in the first fiscal quarter of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and Operating Margin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Operating income was US$205.1 million, representing a 163.0% increase year over year. Non-GAAP income from operations for the quarter was US$244.8 million, representing a 152.2% increase year over year.</w:t>
      </w:r>
    </w:p>
    <w:p>
      <w:pPr>
        <w:spacing w:after="0" w:line="170"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Operating margin for the quarter was 18.6%, compared to 10.5% in the same period of the prior fiscal year. Non-GAAP operating margin, which excludes share-based compensation expenses, for the quarter was 22.3%, compared to 13.0% in the same period of the prior fiscal year.</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Income and Net Income per ADS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income attributable to New Oriental for the quarter was US$165.4 million, representing a 150.6% increase year over year. Basic and diluted net income per ADS attributable to New Oriental were US$1.00 and US$0.99,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 and Non-GAAP Net Income per ADS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Non-GAAP net income attributable to New Oriental for the quarter was US$189.3 million, representing a 126.2% increase year over year. Non-GAAP basic and diluted net income per ADS attributable to New Oriental were US$1.15 and US$1.13,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Net operating cash inflow for the first fiscal quarter of 2024 was approximately US$335.8 million and capital expenditures for the quarter were US$132.5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August 31, 2023, New Oriental had cash and cash equivalents of US$1,748.9 million. In addition, the Company had US$1,399.4 million in term deposits and US$1,423.9 million in short-term investments.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New Oriental’s deferred revenue represents cash collected upfront from customers and related revenue will be recognized as the services or goods are delivered, at the end of the first quarter of fiscal year 2024 was US$1,401.4 million, an increase of 38.4% as compared to US$1,012.5 million at the end of the first quarter of fiscal year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 for the Second Quarter of the Fiscal Year 2024</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New Oriental expects total net revenues in the second quarter of the fiscal year 2024 (September 1, 2023 to November 30, 2023) to be in the range of US$785.0 million to US$804.2 million, representing year-over-year increase in the range of 23% to 26%.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forecast reflects New Oriental’s current and preliminary view, which is subject to change.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New Oriental’s management will host an earnings conference call at 8 AM on October 25, 2023, U.S. Eastern Time (8 PM on October 25, 2023, Beijing/Hong Kong Time).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register in advance of the conference, using the link provided below. Upon registering, you will be provided with participant dial-in numbers, and unique personal PIN.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Conference call registration link: </w:t>
      </w:r>
      <w:r>
        <w:rPr>
          <w:rFonts w:ascii="Arial" w:cs="Arial" w:eastAsia="Arial" w:hAnsi="Arial"/>
          <w:sz w:val="18"/>
          <w:szCs w:val="18"/>
          <w:u w:val="single" w:color="auto"/>
          <w:color w:val="auto"/>
        </w:rPr>
        <w:t>https://register.vevent.com/register/BI2dae07bbf8264f90885473b36ba0e8bc</w:t>
      </w:r>
      <w:r>
        <w:rPr>
          <w:rFonts w:ascii="Arial" w:cs="Arial" w:eastAsia="Arial" w:hAnsi="Arial"/>
          <w:sz w:val="18"/>
          <w:szCs w:val="18"/>
          <w:color w:val="auto"/>
        </w:rPr>
        <w:t>. It will automatically direct you to the registration page of “New Oriental FY2024 Q1 Earnings Conference Call” where you may fill in your details for RSVP.</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10 minutes prior to the call start time, you may use the conference access information (including dial in number(s) and personal PIN) provided in the confirmation email received at the point of registering.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Joining the conference call via a live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Additionally, a live and archived webcast of the conference call will be available at </w:t>
      </w:r>
      <w:r>
        <w:rPr>
          <w:rFonts w:ascii="Arial" w:cs="Arial" w:eastAsia="Arial" w:hAnsi="Arial"/>
          <w:sz w:val="18"/>
          <w:szCs w:val="18"/>
          <w:u w:val="single" w:color="auto"/>
          <w:color w:val="auto"/>
        </w:rPr>
        <w:t>http://investor.neworiental.org</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Listening to the conference call replay:</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A replay of the conference call may be accessed via the webcast on-demand by registering at </w:t>
      </w:r>
      <w:r>
        <w:rPr>
          <w:rFonts w:ascii="Arial" w:cs="Arial" w:eastAsia="Arial" w:hAnsi="Arial"/>
          <w:sz w:val="18"/>
          <w:szCs w:val="18"/>
          <w:u w:val="single" w:color="auto"/>
          <w:color w:val="auto"/>
        </w:rPr>
        <w:t>https://edge.media-server.com/mmc/p/u556cfzt first</w:t>
      </w:r>
      <w:r>
        <w:rPr>
          <w:rFonts w:ascii="Arial" w:cs="Arial" w:eastAsia="Arial" w:hAnsi="Arial"/>
          <w:sz w:val="18"/>
          <w:szCs w:val="18"/>
          <w:color w:val="auto"/>
        </w:rPr>
        <w:t>. The replay will be available until October 25, 2024.</w:t>
      </w:r>
    </w:p>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New Oriental</w:t>
      </w:r>
    </w:p>
    <w:p>
      <w:pPr>
        <w:spacing w:after="0" w:line="12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New Oriental is a provider of private educational services in China offering a wide range of educational programs, services and products to a varied student population throughout China. New Oriental’s program, service and product offerings mainly consist of educational services and test preparation courses, private label products and livestreaming e-commerce and other services, and overseas study consulting services. New Oriental is listed on NYSE (NYSE: EDU) and SEHK (9901.SEHK), respectively. New Oriental’s ADSs, each of which represents ten common shares, are listed and traded on the NYSE. The Hong Kong-listed shares are fully fungible with the ADSs listed on NYSE.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New Oriental, please visit </w:t>
      </w:r>
      <w:r>
        <w:rPr>
          <w:rFonts w:ascii="Arial" w:cs="Arial" w:eastAsia="Arial" w:hAnsi="Arial"/>
          <w:sz w:val="18"/>
          <w:szCs w:val="18"/>
          <w:u w:val="single" w:color="auto"/>
          <w:color w:val="auto"/>
        </w:rPr>
        <w:t>http://www.neworiental.org/english/</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outlook for the second quarter of fiscal year 2024, quotations from management in this announcement, as well as New Oriental’s strategic and operational plans, contain forward-looking statements. New Oriental may also make written or oral forward-looking statements in its reports filed or furnished to the U.S. Securities and Exchange Commission, in its annual reports to shareholders, in press releases and other written materials and in oral statements made by its officers, directors or employees to third parties. Statements that are not historical facts, including statements about New Oriental’s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our ability to effectively and efficiently manage changes of our existing business and new business; our ability to execute our business strategies; uncertainties in relation to the interpretation and implementation of or proposed changes to, the PRC laws, regulations and policies regarding the private education industry; our ability to attract students without a significant increase in course fees; our ability to maintain and enhance our “New Oriental” brand; our ability to maintain consistent teaching quality throughout our school network, or service quality throughout our brand; our ability to achieve the benefits we expect from recent and future acquisitions; the outcome of ongoing, or any future, litigation or arbitration, including those relating to copyright and other intellectual property rights; competition in the private education sector and livestreaming e-commerce business in China; health epidemics and other outbreaks in China; and general economic conditions in China. Further information regarding these and other risks is included in our annual report on Form 20-F and other documents filed with the Securities and Exchange Commission. New Oriental does not undertake any obligation to update any forward-looking statement, except as required under applicable law. All information provided in this press release and in the attachments is as of the date of this press release, and New Oriental undertakes no duty to update such information, except as required under applicable law.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Non-GAAP Financial Measures</w:t>
      </w:r>
    </w:p>
    <w:p>
      <w:pPr>
        <w:spacing w:after="0" w:line="12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To supplement New Oriental’s consolidated financial results presented in accordance with GAAP, New Oriental uses the following measures defined as non-GAAP financial measures by the SEC: net income excluding share-based compensation expenses and gain / (loss) from fair value change of investments, operating income excluding share-based compensation expenses, operating cost and expenses excluding share-based compensation expenses, general and administrative expenses excluding share-based compensation expenses, operating margin excluding share-based compensation expenses, and basic and diluted net income per ADS and per share excluding share-based compensation expenses and gain / (loss) from fair value change of investments. The presentation of these non-GAAP financial measures is not intended to be considered in isolation or as a substitute for the financial information prepared and presented in accordance with GAAP. For more information on these non-GAAP financial measures, please see the tables captioned “Reconciliations of non-GAAP measures to the most comparable GAAP measures” set forth at the end of this release.</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New Oriental believes that these non-GAAP financial measures provide meaningful supplemental information regarding its performance and liquidity by excluding share-based compensation expenses and gain / (loss) from fair value change of investments that may not be indicative of its operating performance from a cash perspective. New Oriental believes that both management and investors benefit from referring to these non-GAAP financial measures in assessing its performance and when planning and forecasting future periods. These non-GAAP financial measures also facilitate management’s internal comparisons to New Oriental’s historical performance and liquidity. New Oriental believes these non-GAAP financial measures are useful to investors in allowing for greater transparency with respect to supplemental information used by management in its financial and operational decision making. A limitation of using these non-GAAP measures is that they exclude share-based compensation charge and gain / (loss) from fair value change of investments that has been and will continue to be for the foreseeable future a significant recurring expense in our business. Management compensates for these limitations by providing specific information regarding the GAAP amounts excluded from each non-GAAP measure. The accompanying tables have more details on the reconciliations between GAAP financial measures that are most directly comparable to non-GAAP financial measures.</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investor and media inquiries, please contact: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Ms. Rita Fong</w:t>
            </w:r>
          </w:p>
        </w:tc>
        <w:tc>
          <w:tcPr>
            <w:tcW w:w="4800" w:type="dxa"/>
            <w:vAlign w:val="bottom"/>
            <w:gridSpan w:val="3"/>
          </w:tcPr>
          <w:p>
            <w:pPr>
              <w:ind w:left="1160"/>
              <w:spacing w:after="0"/>
              <w:rPr>
                <w:sz w:val="20"/>
                <w:szCs w:val="20"/>
                <w:color w:val="auto"/>
              </w:rPr>
            </w:pPr>
            <w:r>
              <w:rPr>
                <w:rFonts w:ascii="Arial" w:cs="Arial" w:eastAsia="Arial" w:hAnsi="Arial"/>
                <w:sz w:val="18"/>
                <w:szCs w:val="18"/>
                <w:color w:val="auto"/>
              </w:rPr>
              <w:t>Ms. Sisi Zhao</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FTI Consulting</w:t>
            </w:r>
          </w:p>
        </w:tc>
        <w:tc>
          <w:tcPr>
            <w:tcW w:w="4800" w:type="dxa"/>
            <w:vAlign w:val="bottom"/>
            <w:gridSpan w:val="3"/>
          </w:tcPr>
          <w:p>
            <w:pPr>
              <w:ind w:left="1160"/>
              <w:spacing w:after="0"/>
              <w:rPr>
                <w:sz w:val="20"/>
                <w:szCs w:val="20"/>
                <w:color w:val="auto"/>
              </w:rPr>
            </w:pPr>
            <w:r>
              <w:rPr>
                <w:rFonts w:ascii="Arial" w:cs="Arial" w:eastAsia="Arial" w:hAnsi="Arial"/>
                <w:sz w:val="18"/>
                <w:szCs w:val="18"/>
                <w:color w:val="auto"/>
                <w:w w:val="92"/>
              </w:rPr>
              <w:t>New Oriental Education &amp; Technology Group Inc.</w:t>
            </w:r>
          </w:p>
        </w:tc>
      </w:tr>
      <w:tr>
        <w:trPr>
          <w:trHeight w:val="216"/>
        </w:trPr>
        <w:tc>
          <w:tcPr>
            <w:tcW w:w="2700" w:type="dxa"/>
            <w:vAlign w:val="bottom"/>
            <w:gridSpan w:val="2"/>
          </w:tcPr>
          <w:p>
            <w:pPr>
              <w:spacing w:after="0"/>
              <w:rPr>
                <w:sz w:val="20"/>
                <w:szCs w:val="20"/>
                <w:color w:val="auto"/>
              </w:rPr>
            </w:pPr>
            <w:r>
              <w:rPr>
                <w:rFonts w:ascii="Arial" w:cs="Arial" w:eastAsia="Arial" w:hAnsi="Arial"/>
                <w:sz w:val="18"/>
                <w:szCs w:val="18"/>
                <w:color w:val="auto"/>
              </w:rPr>
              <w:t>Tel:   +852 3768 4548</w:t>
            </w:r>
          </w:p>
        </w:tc>
        <w:tc>
          <w:tcPr>
            <w:tcW w:w="4800" w:type="dxa"/>
            <w:vAlign w:val="bottom"/>
            <w:gridSpan w:val="3"/>
          </w:tcPr>
          <w:p>
            <w:pPr>
              <w:ind w:left="1160"/>
              <w:spacing w:after="0"/>
              <w:rPr>
                <w:sz w:val="20"/>
                <w:szCs w:val="20"/>
                <w:color w:val="auto"/>
              </w:rPr>
            </w:pPr>
            <w:r>
              <w:rPr>
                <w:rFonts w:ascii="Arial" w:cs="Arial" w:eastAsia="Arial" w:hAnsi="Arial"/>
                <w:sz w:val="18"/>
                <w:szCs w:val="18"/>
                <w:color w:val="auto"/>
              </w:rPr>
              <w:t>Tel:  +86-10-6260-5568</w:t>
            </w:r>
          </w:p>
        </w:tc>
      </w:tr>
      <w:tr>
        <w:trPr>
          <w:trHeight w:val="190"/>
        </w:trPr>
        <w:tc>
          <w:tcPr>
            <w:tcW w:w="2700" w:type="dxa"/>
            <w:vAlign w:val="bottom"/>
            <w:gridSpan w:val="2"/>
          </w:tcPr>
          <w:p>
            <w:pPr>
              <w:spacing w:after="0" w:line="190" w:lineRule="exact"/>
              <w:rPr>
                <w:sz w:val="20"/>
                <w:szCs w:val="20"/>
                <w:color w:val="auto"/>
              </w:rPr>
            </w:pPr>
            <w:r>
              <w:rPr>
                <w:rFonts w:ascii="Arial" w:cs="Arial" w:eastAsia="Arial" w:hAnsi="Arial"/>
                <w:sz w:val="18"/>
                <w:szCs w:val="18"/>
                <w:color w:val="auto"/>
                <w:w w:val="93"/>
              </w:rPr>
              <w:t>Email: rita.fong@fticonsulting.com</w:t>
            </w:r>
          </w:p>
        </w:tc>
        <w:tc>
          <w:tcPr>
            <w:tcW w:w="4800" w:type="dxa"/>
            <w:vAlign w:val="bottom"/>
            <w:gridSpan w:val="3"/>
          </w:tcPr>
          <w:p>
            <w:pPr>
              <w:ind w:left="1160"/>
              <w:spacing w:after="0" w:line="190" w:lineRule="exact"/>
              <w:rPr>
                <w:sz w:val="20"/>
                <w:szCs w:val="20"/>
                <w:color w:val="auto"/>
              </w:rPr>
            </w:pPr>
            <w:r>
              <w:rPr>
                <w:rFonts w:ascii="Arial" w:cs="Arial" w:eastAsia="Arial" w:hAnsi="Arial"/>
                <w:sz w:val="18"/>
                <w:szCs w:val="18"/>
                <w:color w:val="auto"/>
              </w:rPr>
              <w:t>Email: zhaosisi@xdf.cn</w:t>
            </w:r>
          </w:p>
        </w:tc>
      </w:tr>
      <w:tr>
        <w:trPr>
          <w:trHeight w:val="20"/>
        </w:trPr>
        <w:tc>
          <w:tcPr>
            <w:tcW w:w="66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ectPr>
          <w:pgSz w:w="11900" w:h="16838" w:orient="portrait"/>
          <w:cols w:equalWidth="0" w:num="1">
            <w:col w:w="10019"/>
          </w:cols>
          <w:pgMar w:left="440" w:top="270"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ORIENTAL EDUCATION &amp; TECHNOLOGY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 August 31</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As of May 31</w:t>
            </w:r>
          </w:p>
        </w:tc>
      </w:tr>
      <w:tr>
        <w:trPr>
          <w:trHeight w:val="171"/>
        </w:trPr>
        <w:tc>
          <w:tcPr>
            <w:tcW w:w="87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3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2023</w:t>
            </w:r>
          </w:p>
        </w:tc>
        <w:tc>
          <w:tcPr>
            <w:tcW w:w="60" w:type="dxa"/>
            <w:vAlign w:val="bottom"/>
          </w:tcPr>
          <w:p>
            <w:pPr>
              <w:spacing w:after="0"/>
              <w:rPr>
                <w:sz w:val="14"/>
                <w:szCs w:val="14"/>
                <w:color w:val="auto"/>
              </w:rPr>
            </w:pPr>
          </w:p>
        </w:tc>
      </w:tr>
      <w:tr>
        <w:trPr>
          <w:trHeight w:val="123"/>
        </w:trPr>
        <w:tc>
          <w:tcPr>
            <w:tcW w:w="878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5"/>
              </w:rPr>
              <w:t>(Unaudited)</w:t>
            </w:r>
          </w:p>
        </w:tc>
        <w:tc>
          <w:tcPr>
            <w:tcW w:w="380" w:type="dxa"/>
            <w:vAlign w:val="bottom"/>
          </w:tcPr>
          <w:p>
            <w:pPr>
              <w:spacing w:after="0"/>
              <w:rPr>
                <w:sz w:val="10"/>
                <w:szCs w:val="10"/>
                <w:color w:val="auto"/>
              </w:rPr>
            </w:pPr>
          </w:p>
        </w:tc>
        <w:tc>
          <w:tcPr>
            <w:tcW w:w="8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4"/>
              </w:rPr>
              <w:t>(Audited)</w:t>
            </w:r>
          </w:p>
        </w:tc>
        <w:tc>
          <w:tcPr>
            <w:tcW w:w="60" w:type="dxa"/>
            <w:vAlign w:val="bottom"/>
          </w:tcPr>
          <w:p>
            <w:pPr>
              <w:spacing w:after="0"/>
              <w:rPr>
                <w:sz w:val="10"/>
                <w:szCs w:val="10"/>
                <w:color w:val="auto"/>
              </w:rPr>
            </w:pPr>
          </w:p>
        </w:tc>
      </w:tr>
      <w:tr>
        <w:trPr>
          <w:trHeight w:val="167"/>
        </w:trPr>
        <w:tc>
          <w:tcPr>
            <w:tcW w:w="878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color w:val="auto"/>
              </w:rPr>
              <w:t>USD</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rPr>
              <w:t>USD</w:t>
            </w:r>
          </w:p>
        </w:tc>
      </w:tr>
      <w:tr>
        <w:trPr>
          <w:trHeight w:val="196"/>
        </w:trPr>
        <w:tc>
          <w:tcPr>
            <w:tcW w:w="8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1,748,909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1,662,982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Restricted cash, current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109,347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110,892</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deposits, current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944,228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855,784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1,423,904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1,477,843</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35,278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33,074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Inventory, net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63,270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52,689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 net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237,599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211,240</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Amounts due from related parties, current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8,481</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4,571,016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4,413,887</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Restricted cash, non-current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32,465</w:t>
            </w: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31,553</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deposits, non-current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455,124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462,734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372,094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359,760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Land use rights, net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3,321</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Amounts due from related parties, non-current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2,743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1,735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deposits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25,664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26,492</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23,032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25,179</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 net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103,758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105,514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Long-term investments, net</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399,617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399,585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 net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55,708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55,933</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Right-of-use assets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456,592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439,535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173,669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67,230</w:t>
            </w: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6,674,715</w:t>
            </w: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6,392,458</w:t>
            </w:r>
          </w:p>
        </w:tc>
        <w:tc>
          <w:tcPr>
            <w:tcW w:w="6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76,555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69,764</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552,785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569,437</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171,443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118,049</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Amounts due to related parties</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346</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1,401,420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1,337,630</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Operating lease liability, current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163,861</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155,752</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2,366,368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2,250,978</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23,128</w:t>
            </w:r>
          </w:p>
        </w:tc>
        <w:tc>
          <w:tcPr>
            <w:tcW w:w="3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23,849</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Unsecured senior notes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14,403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14,653</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Operating lease liabilities, non-current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291,295</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288,190</w:t>
            </w:r>
          </w:p>
        </w:tc>
        <w:tc>
          <w:tcPr>
            <w:tcW w:w="6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328,826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326,692</w:t>
            </w: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2,695,194</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2,577,670</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New Oriental Education &amp; Technology Group Inc. shareholders’ equity</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3,739,107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3,604,348</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240,414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210,440</w:t>
            </w: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3,979,521</w:t>
            </w:r>
          </w:p>
        </w:tc>
        <w:tc>
          <w:tcPr>
            <w:tcW w:w="3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3,814,788</w:t>
            </w:r>
          </w:p>
        </w:tc>
        <w:tc>
          <w:tcPr>
            <w:tcW w:w="60" w:type="dxa"/>
            <w:vAlign w:val="bottom"/>
          </w:tcPr>
          <w:p>
            <w:pPr>
              <w:spacing w:after="0"/>
              <w:rPr>
                <w:sz w:val="20"/>
                <w:szCs w:val="20"/>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6,674,715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6,392,458</w:t>
            </w:r>
          </w:p>
        </w:tc>
      </w:tr>
      <w:tr>
        <w:trPr>
          <w:trHeight w:val="20"/>
        </w:trPr>
        <w:tc>
          <w:tcPr>
            <w:tcW w:w="8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ORIENTAL EDUCATION &amp; TECHNOLOGY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for per share and per ADS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30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For the Three Months Ended August 31</w:t>
            </w:r>
          </w:p>
        </w:tc>
      </w:tr>
      <w:tr>
        <w:trPr>
          <w:trHeight w:val="142"/>
        </w:trPr>
        <w:tc>
          <w:tcPr>
            <w:tcW w:w="80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2023</w:t>
            </w:r>
          </w:p>
        </w:tc>
        <w:tc>
          <w:tcPr>
            <w:tcW w:w="6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123"/>
        </w:trPr>
        <w:tc>
          <w:tcPr>
            <w:tcW w:w="8020" w:type="dxa"/>
            <w:vAlign w:val="bottom"/>
          </w:tcPr>
          <w:p>
            <w:pPr>
              <w:spacing w:after="0"/>
              <w:rPr>
                <w:sz w:val="10"/>
                <w:szCs w:val="10"/>
                <w:color w:val="auto"/>
              </w:rPr>
            </w:pPr>
          </w:p>
        </w:tc>
        <w:tc>
          <w:tcPr>
            <w:tcW w:w="1120" w:type="dxa"/>
            <w:vAlign w:val="bottom"/>
          </w:tcPr>
          <w:p>
            <w:pPr>
              <w:jc w:val="right"/>
              <w:ind w:right="93"/>
              <w:spacing w:after="0" w:line="123"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0"/>
                <w:szCs w:val="10"/>
                <w:color w:val="auto"/>
              </w:rPr>
            </w:pPr>
          </w:p>
        </w:tc>
        <w:tc>
          <w:tcPr>
            <w:tcW w:w="1120" w:type="dxa"/>
            <w:vAlign w:val="bottom"/>
          </w:tcPr>
          <w:p>
            <w:pPr>
              <w:jc w:val="right"/>
              <w:ind w:right="93"/>
              <w:spacing w:after="0" w:line="12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0"/>
                <w:szCs w:val="10"/>
                <w:color w:val="auto"/>
              </w:rPr>
            </w:pPr>
          </w:p>
        </w:tc>
      </w:tr>
      <w:tr>
        <w:trPr>
          <w:trHeight w:val="167"/>
        </w:trPr>
        <w:tc>
          <w:tcPr>
            <w:tcW w:w="8020" w:type="dxa"/>
            <w:vAlign w:val="bottom"/>
          </w:tcPr>
          <w:p>
            <w:pPr>
              <w:spacing w:after="0"/>
              <w:rPr>
                <w:sz w:val="14"/>
                <w:szCs w:val="14"/>
                <w:color w:val="auto"/>
              </w:rPr>
            </w:pPr>
          </w:p>
        </w:tc>
        <w:tc>
          <w:tcPr>
            <w:tcW w:w="1760" w:type="dxa"/>
            <w:vAlign w:val="bottom"/>
            <w:gridSpan w:val="2"/>
          </w:tcPr>
          <w:p>
            <w:pPr>
              <w:jc w:val="right"/>
              <w:ind w:right="1040"/>
              <w:spacing w:after="0"/>
              <w:rPr>
                <w:sz w:val="20"/>
                <w:szCs w:val="20"/>
                <w:color w:val="auto"/>
              </w:rPr>
            </w:pPr>
            <w:r>
              <w:rPr>
                <w:rFonts w:ascii="Arial" w:cs="Arial" w:eastAsia="Arial" w:hAnsi="Arial"/>
                <w:sz w:val="14"/>
                <w:szCs w:val="14"/>
                <w:color w:val="auto"/>
              </w:rPr>
              <w:t>USD</w:t>
            </w:r>
          </w:p>
        </w:tc>
        <w:tc>
          <w:tcPr>
            <w:tcW w:w="1240" w:type="dxa"/>
            <w:vAlign w:val="bottom"/>
            <w:gridSpan w:val="2"/>
          </w:tcPr>
          <w:p>
            <w:pPr>
              <w:jc w:val="right"/>
              <w:ind w:right="540"/>
              <w:spacing w:after="0"/>
              <w:rPr>
                <w:sz w:val="20"/>
                <w:szCs w:val="20"/>
                <w:color w:val="auto"/>
              </w:rPr>
            </w:pPr>
            <w:r>
              <w:rPr>
                <w:rFonts w:ascii="Arial" w:cs="Arial" w:eastAsia="Arial" w:hAnsi="Arial"/>
                <w:sz w:val="14"/>
                <w:szCs w:val="14"/>
                <w:color w:val="auto"/>
              </w:rPr>
              <w:t>USD</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1,100,021</w:t>
            </w:r>
          </w:p>
        </w:tc>
        <w:tc>
          <w:tcPr>
            <w:tcW w:w="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Operating cost and expenses (note 1)</w:t>
            </w: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441,218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312,067</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Selling and marketing</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136,121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98,744</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317,558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256,022</w:t>
            </w:r>
          </w:p>
        </w:tc>
      </w:tr>
      <w:tr>
        <w:trPr>
          <w:trHeight w:val="230"/>
        </w:trPr>
        <w:tc>
          <w:tcPr>
            <w:tcW w:w="8020" w:type="dxa"/>
            <w:vAlign w:val="bottom"/>
          </w:tcPr>
          <w:p>
            <w:pPr>
              <w:spacing w:after="0"/>
              <w:rPr>
                <w:sz w:val="20"/>
                <w:szCs w:val="20"/>
                <w:color w:val="auto"/>
              </w:rPr>
            </w:pPr>
            <w:r>
              <w:rPr>
                <w:rFonts w:ascii="Arial" w:cs="Arial" w:eastAsia="Arial" w:hAnsi="Arial"/>
                <w:sz w:val="18"/>
                <w:szCs w:val="18"/>
                <w:b w:val="1"/>
                <w:bCs w:val="1"/>
                <w:color w:val="auto"/>
              </w:rPr>
              <w:t>Total operating cost and expenses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894,897</w:t>
            </w:r>
          </w:p>
        </w:tc>
        <w:tc>
          <w:tcPr>
            <w:tcW w:w="64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666,833</w:t>
            </w:r>
          </w:p>
        </w:tc>
        <w:tc>
          <w:tcPr>
            <w:tcW w:w="120" w:type="dxa"/>
            <w:vAlign w:val="bottom"/>
          </w:tcPr>
          <w:p>
            <w:pPr>
              <w:spacing w:after="0"/>
              <w:rPr>
                <w:sz w:val="20"/>
                <w:szCs w:val="20"/>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205,124</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77,989</w:t>
            </w:r>
          </w:p>
        </w:tc>
      </w:tr>
      <w:tr>
        <w:trPr>
          <w:trHeight w:val="223"/>
        </w:trPr>
        <w:tc>
          <w:tcPr>
            <w:tcW w:w="8020" w:type="dxa"/>
            <w:vAlign w:val="bottom"/>
          </w:tcPr>
          <w:p>
            <w:pPr>
              <w:spacing w:after="0"/>
              <w:rPr>
                <w:sz w:val="20"/>
                <w:szCs w:val="20"/>
                <w:color w:val="auto"/>
              </w:rPr>
            </w:pPr>
            <w:r>
              <w:rPr>
                <w:rFonts w:ascii="Arial" w:cs="Arial" w:eastAsia="Arial" w:hAnsi="Arial"/>
                <w:sz w:val="18"/>
                <w:szCs w:val="18"/>
                <w:color w:val="auto"/>
              </w:rPr>
              <w:t>Gain/(Loss) from fair value change of investments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6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34,728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31,898</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60" w:type="dxa"/>
            <w:vAlign w:val="bottom"/>
            <w:gridSpan w:val="2"/>
          </w:tcPr>
          <w:p>
            <w:pPr>
              <w:jc w:val="right"/>
              <w:ind w:right="580"/>
              <w:spacing w:after="0"/>
              <w:rPr>
                <w:sz w:val="20"/>
                <w:szCs w:val="20"/>
                <w:color w:val="auto"/>
              </w:rPr>
            </w:pPr>
            <w:r>
              <w:rPr>
                <w:rFonts w:ascii="Arial" w:cs="Arial" w:eastAsia="Arial" w:hAnsi="Arial"/>
                <w:sz w:val="18"/>
                <w:szCs w:val="18"/>
                <w:color w:val="auto"/>
              </w:rPr>
              <w:t>(62,530)</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(23,343)</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Loss from equity method investments</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(8,496)</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(1,645)</w:t>
            </w: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176,074</w:t>
            </w:r>
          </w:p>
        </w:tc>
        <w:tc>
          <w:tcPr>
            <w:tcW w:w="6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84,581</w:t>
            </w:r>
          </w:p>
        </w:tc>
        <w:tc>
          <w:tcPr>
            <w:tcW w:w="12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Add: Net income attributable to non-controlling interests</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(10,688)</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(18,579)</w:t>
            </w:r>
          </w:p>
        </w:tc>
      </w:tr>
      <w:tr>
        <w:trPr>
          <w:trHeight w:val="223"/>
        </w:trPr>
        <w:tc>
          <w:tcPr>
            <w:tcW w:w="8020" w:type="dxa"/>
            <w:vAlign w:val="bottom"/>
          </w:tcPr>
          <w:p>
            <w:pPr>
              <w:spacing w:after="0"/>
              <w:rPr>
                <w:sz w:val="20"/>
                <w:szCs w:val="20"/>
                <w:color w:val="auto"/>
              </w:rPr>
            </w:pPr>
            <w:r>
              <w:rPr>
                <w:rFonts w:ascii="Arial" w:cs="Arial" w:eastAsia="Arial" w:hAnsi="Arial"/>
                <w:sz w:val="18"/>
                <w:szCs w:val="18"/>
                <w:b w:val="1"/>
                <w:bCs w:val="1"/>
                <w:color w:val="auto"/>
              </w:rPr>
              <w:t>Net income attributable to New Oriental Education &amp; Technology Group Inc.’s shareholders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165,386</w:t>
            </w:r>
          </w:p>
        </w:tc>
        <w:tc>
          <w:tcPr>
            <w:tcW w:w="6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66,002</w:t>
            </w:r>
          </w:p>
        </w:tc>
        <w:tc>
          <w:tcPr>
            <w:tcW w:w="12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 attributable to New Oriental-Basic (note 2)</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r>
      <w:tr>
        <w:trPr>
          <w:trHeight w:val="216"/>
        </w:trPr>
        <w:tc>
          <w:tcPr>
            <w:tcW w:w="8020" w:type="dxa"/>
            <w:vAlign w:val="bottom"/>
          </w:tcPr>
          <w:p>
            <w:pPr>
              <w:spacing w:after="0"/>
              <w:rPr>
                <w:sz w:val="20"/>
                <w:szCs w:val="20"/>
                <w:color w:val="auto"/>
              </w:rPr>
            </w:pPr>
            <w:r>
              <w:rPr>
                <w:rFonts w:ascii="Arial" w:cs="Arial" w:eastAsia="Arial" w:hAnsi="Arial"/>
                <w:sz w:val="18"/>
                <w:szCs w:val="18"/>
                <w:b w:val="1"/>
                <w:bCs w:val="1"/>
                <w:color w:val="auto"/>
              </w:rPr>
              <w:t>Net income per share attributable to New Oriental-Diluted (note 2)</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0.10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ADS attributable to New Oriental-Basic (note 2)</w:t>
            </w: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0.39</w:t>
            </w:r>
          </w:p>
        </w:tc>
      </w:tr>
      <w:tr>
        <w:trPr>
          <w:trHeight w:val="234"/>
        </w:trPr>
        <w:tc>
          <w:tcPr>
            <w:tcW w:w="8020" w:type="dxa"/>
            <w:vAlign w:val="bottom"/>
          </w:tcPr>
          <w:p>
            <w:pPr>
              <w:spacing w:after="0"/>
              <w:rPr>
                <w:sz w:val="20"/>
                <w:szCs w:val="20"/>
                <w:color w:val="auto"/>
              </w:rPr>
            </w:pPr>
            <w:r>
              <w:rPr>
                <w:rFonts w:ascii="Arial" w:cs="Arial" w:eastAsia="Arial" w:hAnsi="Arial"/>
                <w:sz w:val="18"/>
                <w:szCs w:val="18"/>
                <w:b w:val="1"/>
                <w:bCs w:val="1"/>
                <w:color w:val="auto"/>
              </w:rPr>
              <w:t>Net income per ADS attributable to New Oriental-Diluted (note 2)</w:t>
            </w: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0.99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 RECONCILIATIONS OF NON-GAAP MEASURES TO THE MOST COMPARABLE GAAP MEASURES (In thousands except for per share and per ADS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272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4"/>
              </w:rPr>
              <w:t>For the Three Months Ended August 31</w:t>
            </w:r>
          </w:p>
        </w:tc>
        <w:tc>
          <w:tcPr>
            <w:tcW w:w="0" w:type="dxa"/>
            <w:vAlign w:val="bottom"/>
          </w:tcPr>
          <w:p>
            <w:pPr>
              <w:spacing w:after="0"/>
              <w:rPr>
                <w:sz w:val="1"/>
                <w:szCs w:val="1"/>
                <w:color w:val="auto"/>
              </w:rPr>
            </w:pPr>
          </w:p>
        </w:tc>
      </w:tr>
      <w:tr>
        <w:trPr>
          <w:trHeight w:val="142"/>
        </w:trPr>
        <w:tc>
          <w:tcPr>
            <w:tcW w:w="8300" w:type="dxa"/>
            <w:vAlign w:val="bottom"/>
          </w:tcPr>
          <w:p>
            <w:pPr>
              <w:spacing w:after="0"/>
              <w:rPr>
                <w:sz w:val="12"/>
                <w:szCs w:val="12"/>
                <w:color w:val="auto"/>
              </w:rPr>
            </w:pPr>
          </w:p>
        </w:tc>
        <w:tc>
          <w:tcPr>
            <w:tcW w:w="11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8300" w:type="dxa"/>
            <w:vAlign w:val="bottom"/>
          </w:tcPr>
          <w:p>
            <w:pPr>
              <w:spacing w:after="0"/>
              <w:rPr>
                <w:sz w:val="10"/>
                <w:szCs w:val="10"/>
                <w:color w:val="auto"/>
              </w:rPr>
            </w:pPr>
          </w:p>
        </w:tc>
        <w:tc>
          <w:tcPr>
            <w:tcW w:w="1100" w:type="dxa"/>
            <w:vAlign w:val="bottom"/>
          </w:tcPr>
          <w:p>
            <w:pPr>
              <w:jc w:val="right"/>
              <w:ind w:right="93"/>
              <w:spacing w:after="0" w:line="123"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0"/>
                <w:szCs w:val="10"/>
                <w:color w:val="auto"/>
              </w:rPr>
            </w:pPr>
          </w:p>
        </w:tc>
        <w:tc>
          <w:tcPr>
            <w:tcW w:w="1100" w:type="dxa"/>
            <w:vAlign w:val="bottom"/>
          </w:tcPr>
          <w:p>
            <w:pPr>
              <w:jc w:val="right"/>
              <w:ind w:right="92"/>
              <w:spacing w:after="0" w:line="123"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30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color w:val="auto"/>
              </w:rPr>
              <w:t>USD</w:t>
            </w:r>
          </w:p>
        </w:tc>
        <w:tc>
          <w:tcPr>
            <w:tcW w:w="1320" w:type="dxa"/>
            <w:vAlign w:val="bottom"/>
            <w:gridSpan w:val="2"/>
          </w:tcPr>
          <w:p>
            <w:pPr>
              <w:jc w:val="right"/>
              <w:ind w:right="620"/>
              <w:spacing w:after="0"/>
              <w:rPr>
                <w:sz w:val="20"/>
                <w:szCs w:val="20"/>
                <w:color w:val="auto"/>
              </w:rPr>
            </w:pPr>
            <w:r>
              <w:rPr>
                <w:rFonts w:ascii="Arial" w:cs="Arial" w:eastAsia="Arial" w:hAnsi="Arial"/>
                <w:sz w:val="14"/>
                <w:szCs w:val="14"/>
                <w:color w:val="auto"/>
              </w:rPr>
              <w:t>USD</w:t>
            </w:r>
          </w:p>
        </w:tc>
        <w:tc>
          <w:tcPr>
            <w:tcW w:w="0" w:type="dxa"/>
            <w:vAlign w:val="bottom"/>
          </w:tcPr>
          <w:p>
            <w:pPr>
              <w:spacing w:after="0"/>
              <w:rPr>
                <w:sz w:val="1"/>
                <w:szCs w:val="1"/>
                <w:color w:val="auto"/>
              </w:rPr>
            </w:pPr>
          </w:p>
        </w:tc>
      </w:tr>
      <w:tr>
        <w:trPr>
          <w:trHeight w:val="209"/>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317,558</w:t>
            </w: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256,022</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Less: Share-based compensation expenses in general and administrative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27,232</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18,585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Non-GAAP general and administrative expenses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290,326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237,437</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Total operating cost and expenses</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894,897</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666,833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39,631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Non-GAAP operating cost and expenses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855,266</w:t>
            </w:r>
          </w:p>
        </w:tc>
        <w:tc>
          <w:tcPr>
            <w:tcW w:w="30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647,778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205,124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77,989</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Add: Share-based compensation expenses</w:t>
            </w:r>
          </w:p>
        </w:tc>
        <w:tc>
          <w:tcPr>
            <w:tcW w:w="1100" w:type="dxa"/>
            <w:vAlign w:val="bottom"/>
          </w:tcPr>
          <w:p>
            <w:pPr>
              <w:jc w:val="right"/>
              <w:spacing w:after="0"/>
              <w:rPr>
                <w:sz w:val="20"/>
                <w:szCs w:val="20"/>
                <w:color w:val="auto"/>
              </w:rPr>
            </w:pPr>
            <w:r>
              <w:rPr>
                <w:rFonts w:ascii="Arial" w:cs="Arial" w:eastAsia="Arial" w:hAnsi="Arial"/>
                <w:sz w:val="18"/>
                <w:szCs w:val="18"/>
                <w:color w:val="auto"/>
              </w:rPr>
              <w:t>39,631</w:t>
            </w: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244,755</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97,044</w:t>
            </w:r>
          </w:p>
        </w:tc>
        <w:tc>
          <w:tcPr>
            <w:tcW w:w="0" w:type="dxa"/>
            <w:vAlign w:val="bottom"/>
          </w:tcPr>
          <w:p>
            <w:pPr>
              <w:spacing w:after="0"/>
              <w:rPr>
                <w:sz w:val="1"/>
                <w:szCs w:val="1"/>
                <w:color w:val="auto"/>
              </w:rPr>
            </w:pPr>
          </w:p>
        </w:tc>
      </w:tr>
      <w:tr>
        <w:trPr>
          <w:trHeight w:val="20"/>
        </w:trPr>
        <w:tc>
          <w:tcPr>
            <w:tcW w:w="8300" w:type="dxa"/>
            <w:vAlign w:val="bottom"/>
            <w:vMerge w:val="restart"/>
          </w:tcPr>
          <w:p>
            <w:pPr>
              <w:spacing w:after="0"/>
              <w:rPr>
                <w:sz w:val="20"/>
                <w:szCs w:val="20"/>
                <w:color w:val="auto"/>
              </w:rPr>
            </w:pPr>
            <w:r>
              <w:rPr>
                <w:rFonts w:ascii="Arial" w:cs="Arial" w:eastAsia="Arial" w:hAnsi="Arial"/>
                <w:sz w:val="18"/>
                <w:szCs w:val="18"/>
                <w:color w:val="auto"/>
              </w:rPr>
              <w:t>Operating margin</w:t>
            </w:r>
          </w:p>
        </w:tc>
        <w:tc>
          <w:tcPr>
            <w:tcW w:w="1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00" w:type="dxa"/>
            <w:vAlign w:val="bottom"/>
            <w:vMerge w:val="continue"/>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margin</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Net income attributable to New Oriental</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165,386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66,002</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31,180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17,386</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Less: Gain/(Loss) from fair value change of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7,248</w:t>
            </w:r>
          </w:p>
        </w:tc>
        <w:tc>
          <w:tcPr>
            <w:tcW w:w="3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attributable to New Oriental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189,318</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83,706</w:t>
            </w:r>
          </w:p>
        </w:tc>
        <w:tc>
          <w:tcPr>
            <w:tcW w:w="0" w:type="dxa"/>
            <w:vAlign w:val="bottom"/>
          </w:tcPr>
          <w:p>
            <w:pPr>
              <w:spacing w:after="0"/>
              <w:rPr>
                <w:sz w:val="1"/>
                <w:szCs w:val="1"/>
                <w:color w:val="auto"/>
              </w:rPr>
            </w:pP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Net income per ADS attributable to New Oriental- Basic (note 2)</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ADS attributable to New Oriental- Diluted (note 2)</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Non-GAAP net income per ADS attributable to New Oriental - Basic (note 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ADS attributable to New Oriental - Diluted (note 2)</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Weighted average shares used in calculating basic net income per ADS (note 2)</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1,651,203,885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1,700,829,829</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calculating diluted net income per ADS (note 2)</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1,665,318,691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1,702,334,883</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Non-GAAP net income per share - basic</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 per share - diluted</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1: Share-based compensation expenses (in thousands) are included in the operating cost and expenses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1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Three Months Ended August 31</w:t>
            </w:r>
          </w:p>
        </w:tc>
      </w:tr>
      <w:tr>
        <w:trPr>
          <w:trHeight w:val="142"/>
        </w:trPr>
        <w:tc>
          <w:tcPr>
            <w:tcW w:w="79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2023</w:t>
            </w: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8"/>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123"/>
        </w:trPr>
        <w:tc>
          <w:tcPr>
            <w:tcW w:w="790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7"/>
              </w:rPr>
              <w:t>(Unaudited)</w:t>
            </w:r>
          </w:p>
        </w:tc>
        <w:tc>
          <w:tcPr>
            <w:tcW w:w="740" w:type="dxa"/>
            <w:vAlign w:val="bottom"/>
            <w:gridSpan w:val="2"/>
          </w:tcPr>
          <w:p>
            <w:pPr>
              <w:spacing w:after="0"/>
              <w:rPr>
                <w:sz w:val="10"/>
                <w:szCs w:val="10"/>
                <w:color w:val="auto"/>
              </w:rPr>
            </w:pPr>
          </w:p>
        </w:tc>
        <w:tc>
          <w:tcPr>
            <w:tcW w:w="1140" w:type="dxa"/>
            <w:vAlign w:val="bottom"/>
          </w:tcPr>
          <w:p>
            <w:pPr>
              <w:jc w:val="right"/>
              <w:ind w:right="118"/>
              <w:spacing w:after="0" w:line="12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0"/>
                <w:szCs w:val="10"/>
                <w:color w:val="auto"/>
              </w:rPr>
            </w:pPr>
          </w:p>
        </w:tc>
      </w:tr>
      <w:tr>
        <w:trPr>
          <w:trHeight w:val="167"/>
        </w:trPr>
        <w:tc>
          <w:tcPr>
            <w:tcW w:w="7900" w:type="dxa"/>
            <w:vAlign w:val="bottom"/>
          </w:tcPr>
          <w:p>
            <w:pPr>
              <w:spacing w:after="0"/>
              <w:rPr>
                <w:sz w:val="14"/>
                <w:szCs w:val="14"/>
                <w:color w:val="auto"/>
              </w:rPr>
            </w:pPr>
          </w:p>
        </w:tc>
        <w:tc>
          <w:tcPr>
            <w:tcW w:w="1860" w:type="dxa"/>
            <w:vAlign w:val="bottom"/>
            <w:gridSpan w:val="3"/>
          </w:tcPr>
          <w:p>
            <w:pPr>
              <w:jc w:val="center"/>
              <w:ind w:right="740"/>
              <w:spacing w:after="0"/>
              <w:rPr>
                <w:sz w:val="20"/>
                <w:szCs w:val="20"/>
                <w:color w:val="auto"/>
              </w:rPr>
            </w:pPr>
            <w:r>
              <w:rPr>
                <w:rFonts w:ascii="Arial" w:cs="Arial" w:eastAsia="Arial" w:hAnsi="Arial"/>
                <w:sz w:val="14"/>
                <w:szCs w:val="14"/>
                <w:color w:val="auto"/>
                <w:w w:val="94"/>
              </w:rPr>
              <w:t>USD</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USD</w:t>
            </w:r>
          </w:p>
        </w:tc>
      </w:tr>
      <w:tr>
        <w:trPr>
          <w:trHeight w:val="209"/>
        </w:trPr>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Selling and marketing</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7,427</w:t>
            </w:r>
          </w:p>
        </w:tc>
        <w:tc>
          <w:tcPr>
            <w:tcW w:w="7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27,232</w:t>
            </w:r>
          </w:p>
        </w:tc>
        <w:tc>
          <w:tcPr>
            <w:tcW w:w="7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18,585</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39,631</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19,055</w:t>
            </w:r>
          </w:p>
        </w:tc>
        <w:tc>
          <w:tcPr>
            <w:tcW w:w="12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2: Each ADS represents ten common shares.</w:t>
      </w:r>
    </w:p>
    <w:p>
      <w:pPr>
        <w:sectPr>
          <w:pgSz w:w="11900" w:h="16838" w:orient="portrait"/>
          <w:cols w:equalWidth="0" w:num="1">
            <w:col w:w="11020"/>
          </w:cols>
          <w:pgMar w:left="440" w:top="270"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ORIENTAL EDUCATION &amp; TECHNOLOGY GROUP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00" w:type="dxa"/>
            <w:vAlign w:val="bottom"/>
          </w:tcPr>
          <w:p>
            <w:pPr>
              <w:spacing w:after="0"/>
              <w:rPr>
                <w:sz w:val="14"/>
                <w:szCs w:val="14"/>
                <w:color w:val="auto"/>
              </w:rPr>
            </w:pPr>
          </w:p>
        </w:tc>
        <w:tc>
          <w:tcPr>
            <w:tcW w:w="2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For the Three Months Ended August 31</w:t>
            </w:r>
          </w:p>
        </w:tc>
      </w:tr>
      <w:tr>
        <w:trPr>
          <w:trHeight w:val="142"/>
        </w:trPr>
        <w:tc>
          <w:tcPr>
            <w:tcW w:w="810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123"/>
        </w:trPr>
        <w:tc>
          <w:tcPr>
            <w:tcW w:w="8100" w:type="dxa"/>
            <w:vAlign w:val="bottom"/>
          </w:tcPr>
          <w:p>
            <w:pPr>
              <w:spacing w:after="0"/>
              <w:rPr>
                <w:sz w:val="10"/>
                <w:szCs w:val="10"/>
                <w:color w:val="auto"/>
              </w:rPr>
            </w:pPr>
          </w:p>
        </w:tc>
        <w:tc>
          <w:tcPr>
            <w:tcW w:w="1120" w:type="dxa"/>
            <w:vAlign w:val="bottom"/>
          </w:tcPr>
          <w:p>
            <w:pPr>
              <w:jc w:val="right"/>
              <w:ind w:right="97"/>
              <w:spacing w:after="0" w:line="123"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0"/>
                <w:szCs w:val="10"/>
                <w:color w:val="auto"/>
              </w:rPr>
            </w:pPr>
          </w:p>
        </w:tc>
        <w:tc>
          <w:tcPr>
            <w:tcW w:w="1140" w:type="dxa"/>
            <w:vAlign w:val="bottom"/>
          </w:tcPr>
          <w:p>
            <w:pPr>
              <w:jc w:val="right"/>
              <w:ind w:right="115"/>
              <w:spacing w:after="0" w:line="12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0"/>
                <w:szCs w:val="10"/>
                <w:color w:val="auto"/>
              </w:rPr>
            </w:pPr>
          </w:p>
        </w:tc>
      </w:tr>
      <w:tr>
        <w:trPr>
          <w:trHeight w:val="167"/>
        </w:trPr>
        <w:tc>
          <w:tcPr>
            <w:tcW w:w="8100" w:type="dxa"/>
            <w:vAlign w:val="bottom"/>
          </w:tcPr>
          <w:p>
            <w:pPr>
              <w:spacing w:after="0"/>
              <w:rPr>
                <w:sz w:val="14"/>
                <w:szCs w:val="14"/>
                <w:color w:val="auto"/>
              </w:rPr>
            </w:pPr>
          </w:p>
        </w:tc>
        <w:tc>
          <w:tcPr>
            <w:tcW w:w="1660" w:type="dxa"/>
            <w:vAlign w:val="bottom"/>
            <w:gridSpan w:val="2"/>
          </w:tcPr>
          <w:p>
            <w:pPr>
              <w:jc w:val="right"/>
              <w:ind w:right="960"/>
              <w:spacing w:after="0"/>
              <w:rPr>
                <w:sz w:val="20"/>
                <w:szCs w:val="20"/>
                <w:color w:val="auto"/>
              </w:rPr>
            </w:pPr>
            <w:r>
              <w:rPr>
                <w:rFonts w:ascii="Arial" w:cs="Arial" w:eastAsia="Arial" w:hAnsi="Arial"/>
                <w:sz w:val="14"/>
                <w:szCs w:val="14"/>
                <w:color w:val="auto"/>
              </w:rPr>
              <w:t>USD</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USD</w:t>
            </w:r>
          </w:p>
        </w:tc>
      </w:tr>
      <w:tr>
        <w:trPr>
          <w:trHeight w:val="209"/>
        </w:trPr>
        <w:tc>
          <w:tcPr>
            <w:tcW w:w="8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335,786</w:t>
            </w:r>
          </w:p>
        </w:tc>
        <w:tc>
          <w:tcPr>
            <w:tcW w:w="5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(208,166)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(195,296)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6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(12,991)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(19,993)</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660" w:type="dxa"/>
            <w:vAlign w:val="bottom"/>
            <w:gridSpan w:val="2"/>
          </w:tcPr>
          <w:p>
            <w:pPr>
              <w:jc w:val="right"/>
              <w:ind w:right="480"/>
              <w:spacing w:after="0"/>
              <w:rPr>
                <w:sz w:val="20"/>
                <w:szCs w:val="20"/>
                <w:color w:val="auto"/>
              </w:rPr>
            </w:pPr>
            <w:r>
              <w:rPr>
                <w:rFonts w:ascii="Arial" w:cs="Arial" w:eastAsia="Arial" w:hAnsi="Arial"/>
                <w:sz w:val="18"/>
                <w:szCs w:val="18"/>
                <w:color w:val="auto"/>
              </w:rPr>
              <w:t>(29,335)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(27,373)</w:t>
            </w:r>
          </w:p>
        </w:tc>
      </w:tr>
      <w:tr>
        <w:trPr>
          <w:trHeight w:val="27"/>
        </w:trPr>
        <w:tc>
          <w:tcPr>
            <w:tcW w:w="8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85,294</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(57,415)</w:t>
            </w:r>
          </w:p>
        </w:tc>
      </w:tr>
      <w:tr>
        <w:trPr>
          <w:trHeight w:val="223"/>
        </w:trPr>
        <w:tc>
          <w:tcPr>
            <w:tcW w:w="810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1,805,427</w:t>
            </w:r>
          </w:p>
        </w:tc>
        <w:tc>
          <w:tcPr>
            <w:tcW w:w="5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1,194,527</w:t>
            </w:r>
          </w:p>
        </w:tc>
        <w:tc>
          <w:tcPr>
            <w:tcW w:w="120" w:type="dxa"/>
            <w:vAlign w:val="bottom"/>
          </w:tcPr>
          <w:p>
            <w:pPr>
              <w:spacing w:after="0"/>
              <w:rPr>
                <w:sz w:val="19"/>
                <w:szCs w:val="19"/>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1,890,721</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1,137,112</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2023-10-25T06:22:30Z</dcterms:created>
  <dcterms:modified xsi:type="dcterms:W3CDTF">2023-10-25T06:22:30Z</dcterms:modified>
</cp:coreProperties>
</file>