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August 31, 2006</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333-136825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107315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F-1</w:t>
      </w:r>
    </w:p>
    <w:p>
      <w:pPr>
        <w:jc w:val="center"/>
        <w:spacing w:after="0" w:line="230" w:lineRule="auto"/>
        <w:rPr>
          <w:sz w:val="20"/>
          <w:szCs w:val="20"/>
          <w:color w:val="auto"/>
        </w:rPr>
      </w:pPr>
      <w:r>
        <w:rPr>
          <w:rFonts w:ascii="Arial" w:cs="Arial" w:eastAsia="Arial" w:hAnsi="Arial"/>
          <w:sz w:val="22"/>
          <w:szCs w:val="22"/>
          <w:b w:val="1"/>
          <w:bCs w:val="1"/>
          <w:color w:val="auto"/>
        </w:rPr>
        <w:t>REGISTRATION STATEMENT</w:t>
      </w:r>
    </w:p>
    <w:p>
      <w:pPr>
        <w:jc w:val="center"/>
        <w:spacing w:after="0" w:line="231" w:lineRule="auto"/>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107315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NEW ORIENTAL EDUCATION &amp; TECHNOLOGY GROUP INC.</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4"/>
          <w:szCs w:val="14"/>
          <w:color w:val="auto"/>
        </w:rPr>
        <w:t>(Exact name of Registrant as specified in its charter)</w:t>
      </w:r>
    </w:p>
    <w:p>
      <w:pPr>
        <w:spacing w:after="0" w:line="42" w:lineRule="exact"/>
        <w:rPr>
          <w:sz w:val="24"/>
          <w:szCs w:val="24"/>
          <w:color w:val="auto"/>
        </w:rPr>
      </w:pPr>
    </w:p>
    <w:p>
      <w:pPr>
        <w:ind w:left="5280"/>
        <w:spacing w:after="0"/>
        <w:rPr>
          <w:sz w:val="20"/>
          <w:szCs w:val="20"/>
          <w:color w:val="auto"/>
        </w:rPr>
      </w:pPr>
      <w:r>
        <w:rPr>
          <w:rFonts w:ascii="Arial" w:cs="Arial" w:eastAsia="Arial" w:hAnsi="Arial"/>
          <w:sz w:val="14"/>
          <w:szCs w:val="14"/>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(Translation of Registrant’s name into English)</w:t>
      </w:r>
    </w:p>
    <w:p>
      <w:pPr>
        <w:spacing w:after="0" w:line="40"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2760" w:type="dxa"/>
            <w:vAlign w:val="bottom"/>
          </w:tcPr>
          <w:p>
            <w:pPr>
              <w:jc w:val="center"/>
              <w:ind w:right="1066"/>
              <w:spacing w:after="0"/>
              <w:rPr>
                <w:sz w:val="20"/>
                <w:szCs w:val="20"/>
                <w:color w:val="auto"/>
              </w:rPr>
            </w:pPr>
            <w:r>
              <w:rPr>
                <w:rFonts w:ascii="Arial" w:cs="Arial" w:eastAsia="Arial" w:hAnsi="Arial"/>
                <w:sz w:val="18"/>
                <w:szCs w:val="18"/>
                <w:b w:val="1"/>
                <w:bCs w:val="1"/>
                <w:color w:val="auto"/>
                <w:w w:val="88"/>
              </w:rPr>
              <w:t>Cayman Islands</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9"/>
              </w:rPr>
              <w:t>8200</w:t>
            </w:r>
          </w:p>
        </w:tc>
        <w:tc>
          <w:tcPr>
            <w:tcW w:w="2420" w:type="dxa"/>
            <w:vAlign w:val="bottom"/>
          </w:tcPr>
          <w:p>
            <w:pPr>
              <w:jc w:val="center"/>
              <w:ind w:left="1106"/>
              <w:spacing w:after="0"/>
              <w:rPr>
                <w:sz w:val="20"/>
                <w:szCs w:val="20"/>
                <w:color w:val="auto"/>
              </w:rPr>
            </w:pPr>
            <w:r>
              <w:rPr>
                <w:rFonts w:ascii="Arial" w:cs="Arial" w:eastAsia="Arial" w:hAnsi="Arial"/>
                <w:sz w:val="18"/>
                <w:szCs w:val="18"/>
                <w:b w:val="1"/>
                <w:bCs w:val="1"/>
                <w:color w:val="auto"/>
                <w:w w:val="88"/>
              </w:rPr>
              <w:t>Not Applicable</w:t>
            </w:r>
          </w:p>
        </w:tc>
      </w:tr>
      <w:tr>
        <w:trPr>
          <w:trHeight w:val="149"/>
        </w:trPr>
        <w:tc>
          <w:tcPr>
            <w:tcW w:w="2760" w:type="dxa"/>
            <w:vAlign w:val="bottom"/>
          </w:tcPr>
          <w:p>
            <w:pPr>
              <w:jc w:val="center"/>
              <w:ind w:right="1066"/>
              <w:spacing w:after="0" w:line="149" w:lineRule="exact"/>
              <w:rPr>
                <w:sz w:val="20"/>
                <w:szCs w:val="20"/>
                <w:color w:val="auto"/>
              </w:rPr>
            </w:pPr>
            <w:r>
              <w:rPr>
                <w:rFonts w:ascii="Arial" w:cs="Arial" w:eastAsia="Arial" w:hAnsi="Arial"/>
                <w:sz w:val="14"/>
                <w:szCs w:val="14"/>
                <w:color w:val="auto"/>
                <w:w w:val="90"/>
              </w:rPr>
              <w:t>(State or other jurisdiction of</w:t>
            </w:r>
          </w:p>
        </w:tc>
        <w:tc>
          <w:tcPr>
            <w:tcW w:w="3900" w:type="dxa"/>
            <w:vAlign w:val="bottom"/>
          </w:tcPr>
          <w:p>
            <w:pPr>
              <w:jc w:val="center"/>
              <w:spacing w:after="0" w:line="149" w:lineRule="exact"/>
              <w:rPr>
                <w:sz w:val="20"/>
                <w:szCs w:val="20"/>
                <w:color w:val="auto"/>
              </w:rPr>
            </w:pPr>
            <w:r>
              <w:rPr>
                <w:rFonts w:ascii="Arial" w:cs="Arial" w:eastAsia="Arial" w:hAnsi="Arial"/>
                <w:sz w:val="14"/>
                <w:szCs w:val="14"/>
                <w:color w:val="auto"/>
                <w:w w:val="89"/>
              </w:rPr>
              <w:t>(Primary Standard Industrial</w:t>
            </w:r>
          </w:p>
        </w:tc>
        <w:tc>
          <w:tcPr>
            <w:tcW w:w="2420" w:type="dxa"/>
            <w:vAlign w:val="bottom"/>
          </w:tcPr>
          <w:p>
            <w:pPr>
              <w:jc w:val="center"/>
              <w:ind w:left="1106"/>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760" w:type="dxa"/>
            <w:vAlign w:val="bottom"/>
          </w:tcPr>
          <w:p>
            <w:pPr>
              <w:jc w:val="center"/>
              <w:ind w:right="1066"/>
              <w:spacing w:after="0"/>
              <w:rPr>
                <w:sz w:val="20"/>
                <w:szCs w:val="20"/>
                <w:color w:val="auto"/>
              </w:rPr>
            </w:pPr>
            <w:r>
              <w:rPr>
                <w:rFonts w:ascii="Arial" w:cs="Arial" w:eastAsia="Arial" w:hAnsi="Arial"/>
                <w:sz w:val="14"/>
                <w:szCs w:val="14"/>
                <w:color w:val="auto"/>
                <w:w w:val="88"/>
              </w:rPr>
              <w:t>incorporation or organization)</w:t>
            </w:r>
          </w:p>
        </w:tc>
        <w:tc>
          <w:tcPr>
            <w:tcW w:w="3900" w:type="dxa"/>
            <w:vAlign w:val="bottom"/>
          </w:tcPr>
          <w:p>
            <w:pPr>
              <w:jc w:val="center"/>
              <w:spacing w:after="0"/>
              <w:rPr>
                <w:sz w:val="20"/>
                <w:szCs w:val="20"/>
                <w:color w:val="auto"/>
              </w:rPr>
            </w:pPr>
            <w:r>
              <w:rPr>
                <w:rFonts w:ascii="Arial" w:cs="Arial" w:eastAsia="Arial" w:hAnsi="Arial"/>
                <w:sz w:val="14"/>
                <w:szCs w:val="14"/>
                <w:color w:val="auto"/>
                <w:w w:val="88"/>
              </w:rPr>
              <w:t>Classification Code Number)</w:t>
            </w:r>
          </w:p>
        </w:tc>
        <w:tc>
          <w:tcPr>
            <w:tcW w:w="2420" w:type="dxa"/>
            <w:vAlign w:val="bottom"/>
          </w:tcPr>
          <w:p>
            <w:pPr>
              <w:jc w:val="center"/>
              <w:ind w:left="1106"/>
              <w:spacing w:after="0"/>
              <w:rPr>
                <w:sz w:val="20"/>
                <w:szCs w:val="20"/>
                <w:color w:val="auto"/>
              </w:rPr>
            </w:pPr>
            <w:r>
              <w:rPr>
                <w:rFonts w:ascii="Arial" w:cs="Arial" w:eastAsia="Arial" w:hAnsi="Arial"/>
                <w:sz w:val="14"/>
                <w:szCs w:val="14"/>
                <w:color w:val="auto"/>
                <w:w w:val="90"/>
              </w:rPr>
              <w:t>Identification Number)</w:t>
            </w: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Louis T. Hsieh</w:t>
      </w:r>
    </w:p>
    <w:p>
      <w:pPr>
        <w:jc w:val="center"/>
        <w:spacing w:after="0" w:line="213" w:lineRule="auto"/>
        <w:rPr>
          <w:sz w:val="20"/>
          <w:szCs w:val="20"/>
          <w:color w:val="auto"/>
        </w:rPr>
      </w:pPr>
      <w:r>
        <w:rPr>
          <w:rFonts w:ascii="Arial" w:cs="Arial" w:eastAsia="Arial" w:hAnsi="Arial"/>
          <w:sz w:val="14"/>
          <w:szCs w:val="14"/>
          <w:b w:val="1"/>
          <w:bCs w:val="1"/>
          <w:color w:val="auto"/>
        </w:rPr>
        <w:t>Chief Financial Officer</w:t>
      </w:r>
    </w:p>
    <w:p>
      <w:pPr>
        <w:jc w:val="center"/>
        <w:spacing w:after="0" w:line="181" w:lineRule="auto"/>
        <w:rPr>
          <w:sz w:val="20"/>
          <w:szCs w:val="20"/>
          <w:color w:val="auto"/>
        </w:rPr>
      </w:pPr>
      <w:r>
        <w:rPr>
          <w:rFonts w:ascii="Arial" w:cs="Arial" w:eastAsia="Arial" w:hAnsi="Arial"/>
          <w:sz w:val="13"/>
          <w:szCs w:val="13"/>
          <w:b w:val="1"/>
          <w:bCs w:val="1"/>
          <w:color w:val="auto"/>
        </w:rPr>
        <w:t>No. 6 Hai Dian Zhong Street, 9</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Floor</w:t>
      </w:r>
    </w:p>
    <w:p>
      <w:pPr>
        <w:jc w:val="center"/>
        <w:spacing w:after="0" w:line="222" w:lineRule="auto"/>
        <w:rPr>
          <w:sz w:val="20"/>
          <w:szCs w:val="20"/>
          <w:color w:val="auto"/>
        </w:rPr>
      </w:pPr>
      <w:r>
        <w:rPr>
          <w:rFonts w:ascii="Arial" w:cs="Arial" w:eastAsia="Arial" w:hAnsi="Arial"/>
          <w:sz w:val="14"/>
          <w:szCs w:val="14"/>
          <w:b w:val="1"/>
          <w:bCs w:val="1"/>
          <w:color w:val="auto"/>
        </w:rPr>
        <w:t>Haidian District, Beijing 100080</w:t>
      </w:r>
    </w:p>
    <w:p>
      <w:pPr>
        <w:jc w:val="center"/>
        <w:spacing w:after="0" w:line="221" w:lineRule="auto"/>
        <w:rPr>
          <w:sz w:val="20"/>
          <w:szCs w:val="20"/>
          <w:color w:val="auto"/>
        </w:rPr>
      </w:pPr>
      <w:r>
        <w:rPr>
          <w:rFonts w:ascii="Arial" w:cs="Arial" w:eastAsia="Arial" w:hAnsi="Arial"/>
          <w:sz w:val="14"/>
          <w:szCs w:val="14"/>
          <w:b w:val="1"/>
          <w:bCs w:val="1"/>
          <w:color w:val="auto"/>
        </w:rPr>
        <w:t>People’s Republic of China</w:t>
      </w:r>
    </w:p>
    <w:p>
      <w:pPr>
        <w:jc w:val="center"/>
        <w:spacing w:after="0" w:line="222" w:lineRule="auto"/>
        <w:rPr>
          <w:sz w:val="20"/>
          <w:szCs w:val="20"/>
          <w:color w:val="auto"/>
        </w:rPr>
      </w:pPr>
      <w:r>
        <w:rPr>
          <w:rFonts w:ascii="Arial" w:cs="Arial" w:eastAsia="Arial" w:hAnsi="Arial"/>
          <w:sz w:val="14"/>
          <w:szCs w:val="14"/>
          <w:b w:val="1"/>
          <w:bCs w:val="1"/>
          <w:color w:val="auto"/>
        </w:rPr>
        <w:t>(8610) 6260-5566</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102870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CT Corporation System</w:t>
      </w:r>
    </w:p>
    <w:p>
      <w:pPr>
        <w:spacing w:after="0" w:line="2" w:lineRule="exact"/>
        <w:rPr>
          <w:sz w:val="24"/>
          <w:szCs w:val="24"/>
          <w:color w:val="auto"/>
        </w:rPr>
      </w:pPr>
    </w:p>
    <w:p>
      <w:pPr>
        <w:ind w:left="4920" w:right="4920" w:firstLine="262"/>
        <w:spacing w:after="0" w:line="258" w:lineRule="auto"/>
        <w:tabs>
          <w:tab w:leader="none" w:pos="5399"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Eighth Avenue New York, New York 10011</w:t>
      </w:r>
    </w:p>
    <w:p>
      <w:pPr>
        <w:ind w:left="5620" w:hanging="328"/>
        <w:spacing w:after="0" w:line="221" w:lineRule="auto"/>
        <w:tabs>
          <w:tab w:leader="none" w:pos="5620" w:val="left"/>
        </w:tabs>
        <w:numPr>
          <w:ilvl w:val="1"/>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664-1666</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102870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60"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3000" w:type="dxa"/>
            <w:vAlign w:val="bottom"/>
          </w:tcPr>
          <w:p>
            <w:pPr>
              <w:jc w:val="center"/>
              <w:ind w:right="1034"/>
              <w:spacing w:after="0"/>
              <w:rPr>
                <w:sz w:val="20"/>
                <w:szCs w:val="20"/>
                <w:color w:val="auto"/>
              </w:rPr>
            </w:pPr>
            <w:r>
              <w:rPr>
                <w:rFonts w:ascii="Arial" w:cs="Arial" w:eastAsia="Arial" w:hAnsi="Arial"/>
                <w:sz w:val="14"/>
                <w:szCs w:val="14"/>
                <w:b w:val="1"/>
                <w:bCs w:val="1"/>
                <w:color w:val="auto"/>
                <w:w w:val="89"/>
              </w:rPr>
              <w:t>David T. Zhang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9"/>
              </w:rPr>
              <w:t>Matthew Bersani</w:t>
            </w:r>
          </w:p>
        </w:tc>
        <w:tc>
          <w:tcPr>
            <w:tcW w:w="2800" w:type="dxa"/>
            <w:vAlign w:val="bottom"/>
          </w:tcPr>
          <w:p>
            <w:pPr>
              <w:jc w:val="center"/>
              <w:ind w:left="992"/>
              <w:spacing w:after="0"/>
              <w:rPr>
                <w:sz w:val="20"/>
                <w:szCs w:val="20"/>
                <w:color w:val="auto"/>
              </w:rPr>
            </w:pPr>
            <w:r>
              <w:rPr>
                <w:rFonts w:ascii="Arial" w:cs="Arial" w:eastAsia="Arial" w:hAnsi="Arial"/>
                <w:sz w:val="14"/>
                <w:szCs w:val="14"/>
                <w:b w:val="1"/>
                <w:bCs w:val="1"/>
                <w:color w:val="auto"/>
                <w:w w:val="87"/>
              </w:rPr>
              <w:t>Alan D. Seem</w:t>
            </w:r>
          </w:p>
        </w:tc>
      </w:tr>
      <w:tr>
        <w:trPr>
          <w:trHeight w:val="149"/>
        </w:trPr>
        <w:tc>
          <w:tcPr>
            <w:tcW w:w="3000" w:type="dxa"/>
            <w:vAlign w:val="bottom"/>
          </w:tcPr>
          <w:p>
            <w:pPr>
              <w:jc w:val="center"/>
              <w:ind w:right="1034"/>
              <w:spacing w:after="0" w:line="149" w:lineRule="exact"/>
              <w:rPr>
                <w:sz w:val="20"/>
                <w:szCs w:val="20"/>
                <w:color w:val="auto"/>
              </w:rPr>
            </w:pPr>
            <w:r>
              <w:rPr>
                <w:rFonts w:ascii="Arial" w:cs="Arial" w:eastAsia="Arial" w:hAnsi="Arial"/>
                <w:sz w:val="14"/>
                <w:szCs w:val="14"/>
                <w:b w:val="1"/>
                <w:bCs w:val="1"/>
                <w:color w:val="auto"/>
                <w:w w:val="86"/>
              </w:rPr>
              <w:t>John A. Otoshi</w:t>
            </w: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Shearman &amp; Sterling LLP</w:t>
            </w:r>
          </w:p>
        </w:tc>
        <w:tc>
          <w:tcPr>
            <w:tcW w:w="2800" w:type="dxa"/>
            <w:vAlign w:val="bottom"/>
          </w:tcPr>
          <w:p>
            <w:pPr>
              <w:jc w:val="center"/>
              <w:ind w:left="1012"/>
              <w:spacing w:after="0" w:line="149" w:lineRule="exact"/>
              <w:rPr>
                <w:sz w:val="20"/>
                <w:szCs w:val="20"/>
                <w:color w:val="auto"/>
              </w:rPr>
            </w:pPr>
            <w:r>
              <w:rPr>
                <w:rFonts w:ascii="Arial" w:cs="Arial" w:eastAsia="Arial" w:hAnsi="Arial"/>
                <w:sz w:val="14"/>
                <w:szCs w:val="14"/>
                <w:b w:val="1"/>
                <w:bCs w:val="1"/>
                <w:color w:val="auto"/>
                <w:w w:val="90"/>
              </w:rPr>
              <w:t>Shearman &amp; Sterling LLP</w:t>
            </w:r>
          </w:p>
        </w:tc>
      </w:tr>
      <w:tr>
        <w:trPr>
          <w:trHeight w:val="144"/>
        </w:trPr>
        <w:tc>
          <w:tcPr>
            <w:tcW w:w="3000" w:type="dxa"/>
            <w:vAlign w:val="bottom"/>
          </w:tcPr>
          <w:p>
            <w:pPr>
              <w:jc w:val="center"/>
              <w:ind w:right="1034"/>
              <w:spacing w:after="0" w:line="144" w:lineRule="exact"/>
              <w:rPr>
                <w:sz w:val="20"/>
                <w:szCs w:val="20"/>
                <w:color w:val="auto"/>
              </w:rPr>
            </w:pPr>
            <w:r>
              <w:rPr>
                <w:rFonts w:ascii="Arial" w:cs="Arial" w:eastAsia="Arial" w:hAnsi="Arial"/>
                <w:sz w:val="14"/>
                <w:szCs w:val="14"/>
                <w:b w:val="1"/>
                <w:bCs w:val="1"/>
                <w:color w:val="auto"/>
                <w:w w:val="93"/>
              </w:rPr>
              <w:t>Latham &amp; Watkins LLP</w:t>
            </w:r>
          </w:p>
        </w:tc>
        <w:tc>
          <w:tcPr>
            <w:tcW w:w="36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12/F, Gloucester Tower</w:t>
            </w:r>
          </w:p>
        </w:tc>
        <w:tc>
          <w:tcPr>
            <w:tcW w:w="2800" w:type="dxa"/>
            <w:vAlign w:val="bottom"/>
          </w:tcPr>
          <w:p>
            <w:pPr>
              <w:jc w:val="center"/>
              <w:ind w:left="1012"/>
              <w:spacing w:after="0" w:line="144" w:lineRule="exact"/>
              <w:rPr>
                <w:sz w:val="20"/>
                <w:szCs w:val="20"/>
                <w:color w:val="auto"/>
              </w:rPr>
            </w:pPr>
            <w:r>
              <w:rPr>
                <w:rFonts w:ascii="Arial" w:cs="Arial" w:eastAsia="Arial" w:hAnsi="Arial"/>
                <w:sz w:val="14"/>
                <w:szCs w:val="14"/>
                <w:b w:val="1"/>
                <w:bCs w:val="1"/>
                <w:color w:val="auto"/>
                <w:w w:val="88"/>
              </w:rPr>
              <w:t>2318 China World Tower Two</w:t>
            </w:r>
          </w:p>
        </w:tc>
      </w:tr>
      <w:tr>
        <w:trPr>
          <w:trHeight w:val="166"/>
        </w:trPr>
        <w:tc>
          <w:tcPr>
            <w:tcW w:w="3000" w:type="dxa"/>
            <w:vAlign w:val="bottom"/>
          </w:tcPr>
          <w:p>
            <w:pPr>
              <w:jc w:val="center"/>
              <w:ind w:right="1034"/>
              <w:spacing w:after="0" w:line="166" w:lineRule="exact"/>
              <w:rPr>
                <w:sz w:val="20"/>
                <w:szCs w:val="20"/>
                <w:color w:val="auto"/>
              </w:rPr>
            </w:pPr>
            <w:r>
              <w:rPr>
                <w:rFonts w:ascii="Arial" w:cs="Arial" w:eastAsia="Arial" w:hAnsi="Arial"/>
                <w:sz w:val="12"/>
                <w:szCs w:val="12"/>
                <w:b w:val="1"/>
                <w:bCs w:val="1"/>
                <w:color w:val="auto"/>
                <w:w w:val="98"/>
              </w:rPr>
              <w:t>41</w:t>
            </w:r>
            <w:r>
              <w:rPr>
                <w:rFonts w:ascii="Arial" w:cs="Arial" w:eastAsia="Arial" w:hAnsi="Arial"/>
                <w:sz w:val="19"/>
                <w:szCs w:val="19"/>
                <w:b w:val="1"/>
                <w:bCs w:val="1"/>
                <w:color w:val="auto"/>
                <w:w w:val="98"/>
                <w:vertAlign w:val="superscript"/>
              </w:rPr>
              <w:t>st</w:t>
            </w:r>
            <w:r>
              <w:rPr>
                <w:rFonts w:ascii="Arial" w:cs="Arial" w:eastAsia="Arial" w:hAnsi="Arial"/>
                <w:sz w:val="12"/>
                <w:szCs w:val="12"/>
                <w:b w:val="1"/>
                <w:bCs w:val="1"/>
                <w:color w:val="auto"/>
                <w:w w:val="98"/>
              </w:rPr>
              <w:t xml:space="preserve"> Floor, One Exchange Square</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2"/>
              </w:rPr>
              <w:t>The Landmark, Central</w:t>
            </w:r>
          </w:p>
        </w:tc>
        <w:tc>
          <w:tcPr>
            <w:tcW w:w="2800" w:type="dxa"/>
            <w:vAlign w:val="bottom"/>
          </w:tcPr>
          <w:p>
            <w:pPr>
              <w:jc w:val="center"/>
              <w:ind w:left="1012"/>
              <w:spacing w:after="0"/>
              <w:rPr>
                <w:sz w:val="20"/>
                <w:szCs w:val="20"/>
                <w:color w:val="auto"/>
              </w:rPr>
            </w:pPr>
            <w:r>
              <w:rPr>
                <w:rFonts w:ascii="Arial" w:cs="Arial" w:eastAsia="Arial" w:hAnsi="Arial"/>
                <w:sz w:val="14"/>
                <w:szCs w:val="14"/>
                <w:b w:val="1"/>
                <w:bCs w:val="1"/>
                <w:color w:val="auto"/>
                <w:w w:val="88"/>
              </w:rPr>
              <w:t>1 Jianguomenwai Dajie</w:t>
            </w:r>
          </w:p>
        </w:tc>
      </w:tr>
      <w:tr>
        <w:trPr>
          <w:trHeight w:val="149"/>
        </w:trPr>
        <w:tc>
          <w:tcPr>
            <w:tcW w:w="3000" w:type="dxa"/>
            <w:vAlign w:val="bottom"/>
          </w:tcPr>
          <w:p>
            <w:pPr>
              <w:jc w:val="center"/>
              <w:ind w:right="1014"/>
              <w:spacing w:after="0" w:line="149" w:lineRule="exact"/>
              <w:rPr>
                <w:sz w:val="20"/>
                <w:szCs w:val="20"/>
                <w:color w:val="auto"/>
              </w:rPr>
            </w:pPr>
            <w:r>
              <w:rPr>
                <w:rFonts w:ascii="Arial" w:cs="Arial" w:eastAsia="Arial" w:hAnsi="Arial"/>
                <w:sz w:val="14"/>
                <w:szCs w:val="14"/>
                <w:b w:val="1"/>
                <w:bCs w:val="1"/>
                <w:color w:val="auto"/>
                <w:w w:val="87"/>
              </w:rPr>
              <w:t>8 Connaught Place, Central</w:t>
            </w: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Hong Kong</w:t>
            </w:r>
          </w:p>
        </w:tc>
        <w:tc>
          <w:tcPr>
            <w:tcW w:w="2800" w:type="dxa"/>
            <w:vAlign w:val="bottom"/>
          </w:tcPr>
          <w:p>
            <w:pPr>
              <w:jc w:val="center"/>
              <w:ind w:left="1012"/>
              <w:spacing w:after="0" w:line="149" w:lineRule="exact"/>
              <w:rPr>
                <w:sz w:val="20"/>
                <w:szCs w:val="20"/>
                <w:color w:val="auto"/>
              </w:rPr>
            </w:pPr>
            <w:r>
              <w:rPr>
                <w:rFonts w:ascii="Arial" w:cs="Arial" w:eastAsia="Arial" w:hAnsi="Arial"/>
                <w:sz w:val="14"/>
                <w:szCs w:val="14"/>
                <w:b w:val="1"/>
                <w:bCs w:val="1"/>
                <w:color w:val="auto"/>
                <w:w w:val="86"/>
              </w:rPr>
              <w:t>Beijing 100004</w:t>
            </w:r>
          </w:p>
        </w:tc>
      </w:tr>
      <w:tr>
        <w:trPr>
          <w:trHeight w:val="149"/>
        </w:trPr>
        <w:tc>
          <w:tcPr>
            <w:tcW w:w="3000" w:type="dxa"/>
            <w:vAlign w:val="bottom"/>
          </w:tcPr>
          <w:p>
            <w:pPr>
              <w:jc w:val="center"/>
              <w:ind w:right="1034"/>
              <w:spacing w:after="0" w:line="149" w:lineRule="exact"/>
              <w:rPr>
                <w:sz w:val="20"/>
                <w:szCs w:val="20"/>
                <w:color w:val="auto"/>
              </w:rPr>
            </w:pPr>
            <w:r>
              <w:rPr>
                <w:rFonts w:ascii="Arial" w:cs="Arial" w:eastAsia="Arial" w:hAnsi="Arial"/>
                <w:sz w:val="14"/>
                <w:szCs w:val="14"/>
                <w:b w:val="1"/>
                <w:bCs w:val="1"/>
                <w:color w:val="auto"/>
                <w:w w:val="87"/>
              </w:rPr>
              <w:t>Hong Kong</w:t>
            </w: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(852) 2978-8000</w:t>
            </w:r>
          </w:p>
        </w:tc>
        <w:tc>
          <w:tcPr>
            <w:tcW w:w="2800" w:type="dxa"/>
            <w:vAlign w:val="bottom"/>
          </w:tcPr>
          <w:p>
            <w:pPr>
              <w:jc w:val="center"/>
              <w:ind w:left="1012"/>
              <w:spacing w:after="0" w:line="149" w:lineRule="exact"/>
              <w:rPr>
                <w:sz w:val="20"/>
                <w:szCs w:val="20"/>
                <w:color w:val="auto"/>
              </w:rPr>
            </w:pPr>
            <w:r>
              <w:rPr>
                <w:rFonts w:ascii="Arial" w:cs="Arial" w:eastAsia="Arial" w:hAnsi="Arial"/>
                <w:sz w:val="14"/>
                <w:szCs w:val="14"/>
                <w:b w:val="1"/>
                <w:bCs w:val="1"/>
                <w:color w:val="auto"/>
                <w:w w:val="86"/>
              </w:rPr>
              <w:t>People’s Republic of China</w:t>
            </w:r>
          </w:p>
        </w:tc>
      </w:tr>
      <w:tr>
        <w:trPr>
          <w:trHeight w:val="189"/>
        </w:trPr>
        <w:tc>
          <w:tcPr>
            <w:tcW w:w="3000" w:type="dxa"/>
            <w:vAlign w:val="bottom"/>
          </w:tcPr>
          <w:p>
            <w:pPr>
              <w:jc w:val="center"/>
              <w:ind w:right="1034"/>
              <w:spacing w:after="0"/>
              <w:rPr>
                <w:sz w:val="20"/>
                <w:szCs w:val="20"/>
                <w:color w:val="auto"/>
              </w:rPr>
            </w:pPr>
            <w:r>
              <w:rPr>
                <w:rFonts w:ascii="Arial" w:cs="Arial" w:eastAsia="Arial" w:hAnsi="Arial"/>
                <w:sz w:val="14"/>
                <w:szCs w:val="14"/>
                <w:b w:val="1"/>
                <w:bCs w:val="1"/>
                <w:color w:val="auto"/>
                <w:w w:val="86"/>
              </w:rPr>
              <w:t>(852) 2522-7886</w:t>
            </w:r>
          </w:p>
        </w:tc>
        <w:tc>
          <w:tcPr>
            <w:tcW w:w="3660" w:type="dxa"/>
            <w:vAlign w:val="bottom"/>
          </w:tcPr>
          <w:p>
            <w:pPr>
              <w:spacing w:after="0"/>
              <w:rPr>
                <w:sz w:val="16"/>
                <w:szCs w:val="16"/>
                <w:color w:val="auto"/>
              </w:rPr>
            </w:pPr>
          </w:p>
        </w:tc>
        <w:tc>
          <w:tcPr>
            <w:tcW w:w="2800" w:type="dxa"/>
            <w:vAlign w:val="bottom"/>
          </w:tcPr>
          <w:p>
            <w:pPr>
              <w:jc w:val="center"/>
              <w:ind w:left="992"/>
              <w:spacing w:after="0"/>
              <w:rPr>
                <w:sz w:val="20"/>
                <w:szCs w:val="20"/>
                <w:color w:val="auto"/>
              </w:rPr>
            </w:pPr>
            <w:r>
              <w:rPr>
                <w:rFonts w:ascii="Arial" w:cs="Arial" w:eastAsia="Arial" w:hAnsi="Arial"/>
                <w:sz w:val="14"/>
                <w:szCs w:val="14"/>
                <w:b w:val="1"/>
                <w:bCs w:val="1"/>
                <w:color w:val="auto"/>
                <w:w w:val="88"/>
              </w:rPr>
              <w:t>(8610) 6505-3399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2"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2"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03"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2386330</wp:posOffset>
            </wp:positionH>
            <wp:positionV relativeFrom="paragraph">
              <wp:posOffset>-24765</wp:posOffset>
            </wp:positionV>
            <wp:extent cx="428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1"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1607185</wp:posOffset>
            </wp:positionH>
            <wp:positionV relativeFrom="paragraph">
              <wp:posOffset>-24765</wp:posOffset>
            </wp:positionV>
            <wp:extent cx="428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1"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1607185</wp:posOffset>
            </wp:positionH>
            <wp:positionV relativeFrom="paragraph">
              <wp:posOffset>-24765</wp:posOffset>
            </wp:positionV>
            <wp:extent cx="428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ind w:left="360"/>
        <w:spacing w:after="0" w:line="147" w:lineRule="exact"/>
        <w:rPr>
          <w:sz w:val="20"/>
          <w:szCs w:val="20"/>
          <w:color w:val="auto"/>
        </w:rPr>
      </w:pPr>
      <w:r>
        <w:rPr>
          <w:rFonts w:ascii="Arial" w:cs="Arial" w:eastAsia="Arial" w:hAnsi="Arial"/>
          <w:sz w:val="14"/>
          <w:szCs w:val="14"/>
          <w:color w:val="auto"/>
        </w:rPr>
        <w:t xml:space="preserve">If delivery of the prospectus is expected to be made pursuant to Rule 434, check the following box.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126365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340" w:type="dxa"/>
            <w:vAlign w:val="bottom"/>
          </w:tcPr>
          <w:p>
            <w:pPr>
              <w:jc w:val="center"/>
              <w:ind w:left="492"/>
              <w:spacing w:after="0"/>
              <w:rPr>
                <w:sz w:val="20"/>
                <w:szCs w:val="20"/>
                <w:color w:val="auto"/>
              </w:rPr>
            </w:pPr>
            <w:r>
              <w:rPr>
                <w:rFonts w:ascii="Arial" w:cs="Arial" w:eastAsia="Arial" w:hAnsi="Arial"/>
                <w:sz w:val="14"/>
                <w:szCs w:val="14"/>
                <w:b w:val="1"/>
                <w:bCs w:val="1"/>
                <w:color w:val="auto"/>
                <w:w w:val="88"/>
              </w:rPr>
              <w:t>Amount to</w:t>
            </w:r>
          </w:p>
        </w:tc>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w w:val="84"/>
              </w:rPr>
              <w:t>Title of each class of</w:t>
            </w:r>
          </w:p>
        </w:tc>
        <w:tc>
          <w:tcPr>
            <w:tcW w:w="2340" w:type="dxa"/>
            <w:vAlign w:val="bottom"/>
          </w:tcPr>
          <w:p>
            <w:pPr>
              <w:jc w:val="center"/>
              <w:ind w:left="492"/>
              <w:spacing w:after="0" w:line="149" w:lineRule="exact"/>
              <w:rPr>
                <w:sz w:val="20"/>
                <w:szCs w:val="20"/>
                <w:color w:val="auto"/>
              </w:rPr>
            </w:pPr>
            <w:r>
              <w:rPr>
                <w:rFonts w:ascii="Arial" w:cs="Arial" w:eastAsia="Arial" w:hAnsi="Arial"/>
                <w:sz w:val="14"/>
                <w:szCs w:val="14"/>
                <w:b w:val="1"/>
                <w:bCs w:val="1"/>
                <w:color w:val="auto"/>
                <w:w w:val="85"/>
              </w:rPr>
              <w:t>be</w:t>
            </w:r>
          </w:p>
        </w:tc>
        <w:tc>
          <w:tcPr>
            <w:tcW w:w="2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Proposed maximum aggregate</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00" w:type="dxa"/>
            <w:vAlign w:val="bottom"/>
            <w:vMerge w:val="continue"/>
          </w:tcPr>
          <w:p>
            <w:pPr>
              <w:spacing w:after="0"/>
              <w:rPr>
                <w:sz w:val="11"/>
                <w:szCs w:val="11"/>
                <w:color w:val="auto"/>
              </w:rPr>
            </w:pPr>
          </w:p>
        </w:tc>
        <w:tc>
          <w:tcPr>
            <w:tcW w:w="2340" w:type="dxa"/>
            <w:vAlign w:val="bottom"/>
          </w:tcPr>
          <w:p>
            <w:pPr>
              <w:jc w:val="center"/>
              <w:ind w:left="512"/>
              <w:spacing w:after="0" w:line="135" w:lineRule="exact"/>
              <w:rPr>
                <w:sz w:val="20"/>
                <w:szCs w:val="20"/>
                <w:color w:val="auto"/>
              </w:rPr>
            </w:pPr>
            <w:r>
              <w:rPr>
                <w:rFonts w:ascii="Arial" w:cs="Arial" w:eastAsia="Arial" w:hAnsi="Arial"/>
                <w:sz w:val="14"/>
                <w:szCs w:val="14"/>
                <w:b w:val="1"/>
                <w:bCs w:val="1"/>
                <w:color w:val="auto"/>
                <w:w w:val="85"/>
              </w:rPr>
              <w:t>registered (1)</w:t>
            </w:r>
          </w:p>
        </w:tc>
        <w:tc>
          <w:tcPr>
            <w:tcW w:w="2760" w:type="dxa"/>
            <w:vAlign w:val="bottom"/>
            <w:vMerge w:val="continue"/>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30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3"/>
              </w:rPr>
              <w:t>securities to be registered</w:t>
            </w:r>
          </w:p>
        </w:tc>
        <w:tc>
          <w:tcPr>
            <w:tcW w:w="23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 (1)</w:t>
            </w:r>
          </w:p>
        </w:tc>
        <w:tc>
          <w:tcPr>
            <w:tcW w:w="2020" w:type="dxa"/>
            <w:vAlign w:val="bottom"/>
            <w:tcBorders>
              <w:bottom w:val="single" w:sz="8" w:color="auto"/>
            </w:tcBorders>
          </w:tcPr>
          <w:p>
            <w:pPr>
              <w:jc w:val="center"/>
              <w:ind w:left="432"/>
              <w:spacing w:after="0"/>
              <w:rPr>
                <w:sz w:val="20"/>
                <w:szCs w:val="20"/>
                <w:color w:val="auto"/>
              </w:rPr>
            </w:pPr>
            <w:r>
              <w:rPr>
                <w:rFonts w:ascii="Arial" w:cs="Arial" w:eastAsia="Arial" w:hAnsi="Arial"/>
                <w:sz w:val="14"/>
                <w:szCs w:val="14"/>
                <w:b w:val="1"/>
                <w:bCs w:val="1"/>
                <w:color w:val="auto"/>
                <w:w w:val="86"/>
              </w:rPr>
              <w:t>Amount of registration fee</w:t>
            </w:r>
          </w:p>
        </w:tc>
        <w:tc>
          <w:tcPr>
            <w:tcW w:w="0" w:type="dxa"/>
            <w:vAlign w:val="bottom"/>
          </w:tcPr>
          <w:p>
            <w:pPr>
              <w:spacing w:after="0"/>
              <w:rPr>
                <w:sz w:val="1"/>
                <w:szCs w:val="1"/>
                <w:color w:val="auto"/>
              </w:rPr>
            </w:pPr>
          </w:p>
        </w:tc>
      </w:tr>
      <w:tr>
        <w:trPr>
          <w:trHeight w:val="168"/>
        </w:trPr>
        <w:tc>
          <w:tcPr>
            <w:tcW w:w="4300" w:type="dxa"/>
            <w:vAlign w:val="bottom"/>
          </w:tcPr>
          <w:p>
            <w:pPr>
              <w:ind w:left="440"/>
              <w:spacing w:after="0"/>
              <w:rPr>
                <w:sz w:val="20"/>
                <w:szCs w:val="20"/>
                <w:color w:val="auto"/>
              </w:rPr>
            </w:pPr>
            <w:r>
              <w:rPr>
                <w:rFonts w:ascii="Arial" w:cs="Arial" w:eastAsia="Arial" w:hAnsi="Arial"/>
                <w:sz w:val="14"/>
                <w:szCs w:val="14"/>
                <w:b w:val="1"/>
                <w:bCs w:val="1"/>
                <w:color w:val="auto"/>
              </w:rPr>
              <w:t>Common shares, par value $0.01 per share(2)(3)</w:t>
            </w:r>
          </w:p>
        </w:tc>
        <w:tc>
          <w:tcPr>
            <w:tcW w:w="2340" w:type="dxa"/>
            <w:vAlign w:val="bottom"/>
          </w:tcPr>
          <w:p>
            <w:pPr>
              <w:jc w:val="right"/>
              <w:ind w:right="512"/>
              <w:spacing w:after="0"/>
              <w:rPr>
                <w:sz w:val="20"/>
                <w:szCs w:val="20"/>
                <w:color w:val="auto"/>
              </w:rPr>
            </w:pPr>
            <w:r>
              <w:rPr>
                <w:rFonts w:ascii="Arial" w:cs="Arial" w:eastAsia="Arial" w:hAnsi="Arial"/>
                <w:sz w:val="14"/>
                <w:szCs w:val="14"/>
                <w:b w:val="1"/>
                <w:bCs w:val="1"/>
                <w:color w:val="auto"/>
              </w:rPr>
              <w:t>34,500,000</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86"/>
              </w:rPr>
              <w:t>$112,125,000</w:t>
            </w:r>
          </w:p>
        </w:tc>
        <w:tc>
          <w:tcPr>
            <w:tcW w:w="2020" w:type="dxa"/>
            <w:vAlign w:val="bottom"/>
          </w:tcPr>
          <w:p>
            <w:pPr>
              <w:jc w:val="right"/>
              <w:ind w:right="472"/>
              <w:spacing w:after="0"/>
              <w:rPr>
                <w:sz w:val="20"/>
                <w:szCs w:val="20"/>
                <w:color w:val="auto"/>
              </w:rPr>
            </w:pPr>
            <w:r>
              <w:rPr>
                <w:rFonts w:ascii="Arial" w:cs="Arial" w:eastAsia="Arial" w:hAnsi="Arial"/>
                <w:sz w:val="14"/>
                <w:szCs w:val="14"/>
                <w:b w:val="1"/>
                <w:bCs w:val="1"/>
                <w:color w:val="auto"/>
              </w:rPr>
              <w:t>$11,998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registration fee in accordance with Rule 457(a) under the Securities Act of 1933.</w:t>
      </w:r>
    </w:p>
    <w:p>
      <w:pPr>
        <w:ind w:left="34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common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and also includes common shares that may be purchased by the underwriters pursuant to an over-allotment option. These common shares are not being registered for the purpose of sales outside the United States.</w:t>
      </w:r>
    </w:p>
    <w:p>
      <w:pPr>
        <w:ind w:left="340" w:right="380" w:hanging="332"/>
        <w:spacing w:after="0" w:line="230"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American depositary shares issuable upon deposit of the common shares registered hereby will be registered under a separate registration statement on Form F-6 (Registration No.333-136862). Each American depositary share represents four common shares.</w:t>
      </w:r>
    </w:p>
    <w:p>
      <w:pPr>
        <w:spacing w:after="0" w:line="42" w:lineRule="exact"/>
        <w:rPr>
          <w:sz w:val="24"/>
          <w:szCs w:val="24"/>
          <w:color w:val="auto"/>
        </w:rPr>
      </w:pPr>
    </w:p>
    <w:p>
      <w:pPr>
        <w:ind w:right="4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540"/>
        <w:spacing w:after="0" w:line="296" w:lineRule="auto"/>
        <w:rPr>
          <w:sz w:val="20"/>
          <w:szCs w:val="20"/>
          <w:color w:val="auto"/>
        </w:rPr>
      </w:pPr>
      <w:r>
        <w:rPr>
          <w:rFonts w:ascii="Arial" w:cs="Arial" w:eastAsia="Arial" w:hAnsi="Arial"/>
          <w:sz w:val="16"/>
          <w:szCs w:val="16"/>
          <w:b w:val="1"/>
          <w:bCs w:val="1"/>
          <w:color w:val="DE1A1E"/>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98" w:lineRule="exact"/>
        <w:rPr>
          <w:sz w:val="20"/>
          <w:szCs w:val="20"/>
          <w:color w:val="auto"/>
        </w:rPr>
      </w:pPr>
    </w:p>
    <w:tbl>
      <w:tblPr>
        <w:tblLayout w:type="fixed"/>
        <w:tblInd w:w="4080" w:type="dxa"/>
        <w:tblCellMar>
          <w:top w:w="0" w:type="dxa"/>
          <w:left w:w="0" w:type="dxa"/>
          <w:bottom w:w="0" w:type="dxa"/>
          <w:right w:w="0" w:type="dxa"/>
        </w:tblCellMar>
      </w:tblPr>
      <w:tr>
        <w:trPr>
          <w:trHeight w:val="211"/>
        </w:trPr>
        <w:tc>
          <w:tcPr>
            <w:tcW w:w="2500" w:type="dxa"/>
            <w:vAlign w:val="bottom"/>
          </w:tcPr>
          <w:p>
            <w:pPr>
              <w:spacing w:after="0"/>
              <w:rPr>
                <w:sz w:val="20"/>
                <w:szCs w:val="20"/>
                <w:color w:val="auto"/>
              </w:rPr>
            </w:pPr>
            <w:r>
              <w:rPr>
                <w:rFonts w:ascii="Arial" w:cs="Arial" w:eastAsia="Arial" w:hAnsi="Arial"/>
                <w:sz w:val="18"/>
                <w:szCs w:val="18"/>
                <w:color w:val="DE1A1E"/>
              </w:rPr>
              <w:t>Subject to Completion. Dated</w:t>
            </w:r>
          </w:p>
        </w:tc>
        <w:tc>
          <w:tcPr>
            <w:tcW w:w="760" w:type="dxa"/>
            <w:vAlign w:val="bottom"/>
          </w:tcPr>
          <w:p>
            <w:pPr>
              <w:jc w:val="right"/>
              <w:spacing w:after="0"/>
              <w:rPr>
                <w:sz w:val="20"/>
                <w:szCs w:val="20"/>
                <w:color w:val="auto"/>
              </w:rPr>
            </w:pPr>
            <w:r>
              <w:rPr>
                <w:rFonts w:ascii="Arial" w:cs="Arial" w:eastAsia="Arial" w:hAnsi="Arial"/>
                <w:sz w:val="18"/>
                <w:szCs w:val="18"/>
                <w:color w:val="DE1A1E"/>
              </w:rPr>
              <w:t>, 2006.</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7,500,000 American Depositary Shares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Representing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30,000,000 Common Shares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New Oriental Education &amp; Technology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1058545</wp:posOffset>
            </wp:positionV>
            <wp:extent cx="16897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72390</wp:posOffset>
            </wp:positionV>
            <wp:extent cx="1964055" cy="823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405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This is an initial public offering of American depositary shares, or ADSs, of New Oriental Education &amp; Technology Group Inc., or New Oriental. New Oriental is offering 7,500,000 ADSs. Each ADS represents four common shares. The ADSs are evidenced by American depositary receipts, or ADRs.</w:t>
      </w:r>
    </w:p>
    <w:p>
      <w:pPr>
        <w:spacing w:after="0" w:line="141"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Prior to this offering, there has been no public market for the ADSs or the common shares. We anticipate the initial public offering price will be between US$11.00 and US$13.00 per ADS. We have applied to have the ADSs listed on the New York Stock Exchange under the symbol “EDU.”</w:t>
      </w:r>
    </w:p>
    <w:p>
      <w:pPr>
        <w:spacing w:after="0" w:line="119"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See “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11 to read about risks you should consider before buying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172085</wp:posOffset>
            </wp:positionV>
            <wp:extent cx="16897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200" w:firstLine="456"/>
        <w:spacing w:after="0" w:line="328" w:lineRule="auto"/>
        <w:rPr>
          <w:sz w:val="20"/>
          <w:szCs w:val="20"/>
          <w:color w:val="auto"/>
        </w:rPr>
      </w:pPr>
      <w:r>
        <w:rPr>
          <w:rFonts w:ascii="Arial" w:cs="Arial" w:eastAsia="Arial" w:hAnsi="Arial"/>
          <w:sz w:val="16"/>
          <w:szCs w:val="16"/>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113030</wp:posOffset>
            </wp:positionV>
            <wp:extent cx="16897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b w:val="1"/>
                <w:bCs w:val="1"/>
                <w:color w:val="auto"/>
                <w:w w:val="81"/>
              </w:rPr>
              <w:t>Proceeds, Before</w:t>
            </w:r>
          </w:p>
        </w:tc>
      </w:tr>
      <w:tr>
        <w:trPr>
          <w:trHeight w:val="149"/>
        </w:trPr>
        <w:tc>
          <w:tcPr>
            <w:tcW w:w="78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to</w:t>
            </w:r>
          </w:p>
        </w:tc>
        <w:tc>
          <w:tcPr>
            <w:tcW w:w="54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Arial" w:cs="Arial" w:eastAsia="Arial" w:hAnsi="Arial"/>
                <w:sz w:val="14"/>
                <w:szCs w:val="14"/>
                <w:b w:val="1"/>
                <w:bCs w:val="1"/>
                <w:color w:val="auto"/>
                <w:w w:val="87"/>
              </w:rPr>
              <w:t>Underwriting</w:t>
            </w:r>
          </w:p>
        </w:tc>
        <w:tc>
          <w:tcPr>
            <w:tcW w:w="5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Expenses, to</w:t>
            </w:r>
          </w:p>
        </w:tc>
      </w:tr>
      <w:tr>
        <w:trPr>
          <w:trHeight w:val="174"/>
        </w:trPr>
        <w:tc>
          <w:tcPr>
            <w:tcW w:w="78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Public</w:t>
            </w:r>
          </w:p>
        </w:tc>
        <w:tc>
          <w:tcPr>
            <w:tcW w:w="54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w w:val="97"/>
              </w:rPr>
              <w:t>Discounts</w:t>
            </w:r>
          </w:p>
        </w:tc>
        <w:tc>
          <w:tcPr>
            <w:tcW w:w="5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New Oriental</w:t>
            </w:r>
          </w:p>
        </w:tc>
      </w:tr>
      <w:tr>
        <w:trPr>
          <w:trHeight w:val="95"/>
        </w:trPr>
        <w:tc>
          <w:tcPr>
            <w:tcW w:w="78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307"/>
        </w:trPr>
        <w:tc>
          <w:tcPr>
            <w:tcW w:w="7820" w:type="dxa"/>
            <w:vAlign w:val="bottom"/>
          </w:tcPr>
          <w:p>
            <w:pPr>
              <w:spacing w:after="0"/>
              <w:rPr>
                <w:sz w:val="20"/>
                <w:szCs w:val="20"/>
                <w:color w:val="auto"/>
              </w:rPr>
            </w:pPr>
            <w:r>
              <w:rPr>
                <w:rFonts w:ascii="Arial" w:cs="Arial" w:eastAsia="Arial" w:hAnsi="Arial"/>
                <w:sz w:val="18"/>
                <w:szCs w:val="18"/>
                <w:color w:val="auto"/>
              </w:rPr>
              <w:t>Per ADS</w:t>
            </w:r>
          </w:p>
        </w:tc>
        <w:tc>
          <w:tcPr>
            <w:tcW w:w="76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US$</w:t>
            </w:r>
          </w:p>
        </w:tc>
      </w:tr>
      <w:tr>
        <w:trPr>
          <w:trHeight w:val="211"/>
        </w:trPr>
        <w:tc>
          <w:tcPr>
            <w:tcW w:w="782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US$</w:t>
            </w:r>
          </w:p>
        </w:tc>
      </w:tr>
    </w:tbl>
    <w:p>
      <w:pPr>
        <w:spacing w:after="0" w:line="140"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The underwriters have an option to purchase up to an additional 1,125,000 ADSs from New Oriental at the initial public offering price less the underwriting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156210</wp:posOffset>
            </wp:positionV>
            <wp:extent cx="16897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expect to deliver the ADSs evidenced by the ADRs against payment in U.S. dollars in New York, New York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sectPr>
          <w:pgSz w:w="11900" w:h="16838" w:orient="portrait"/>
          <w:cols w:equalWidth="0" w:num="2">
            <w:col w:w="10640" w:space="720"/>
            <w:col w:w="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2006.</w:t>
      </w:r>
    </w:p>
    <w:p>
      <w:pPr>
        <w:sectPr>
          <w:pgSz w:w="11900" w:h="16838" w:orient="portrait"/>
          <w:cols w:equalWidth="0" w:num="1">
            <w:col w:w="11420"/>
          </w:cols>
          <w:pgMar w:left="240" w:top="459" w:right="23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Credit Suisse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Goldman Sachs (Asia)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189230</wp:posOffset>
            </wp:positionV>
            <wp:extent cx="16897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720"/>
            <w:col w:w="3320"/>
          </w:cols>
          <w:pgMar w:left="240" w:top="459" w:right="239" w:bottom="1440" w:gutter="0" w:footer="0" w:header="0"/>
          <w:type w:val="continuous"/>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177165</wp:posOffset>
            </wp:positionV>
            <wp:extent cx="16897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4460" w:type="dxa"/>
        <w:tblCellMar>
          <w:top w:w="0" w:type="dxa"/>
          <w:left w:w="0" w:type="dxa"/>
          <w:bottom w:w="0" w:type="dxa"/>
          <w:right w:w="0" w:type="dxa"/>
        </w:tblCellMar>
      </w:tblPr>
      <w:tr>
        <w:trPr>
          <w:trHeight w:val="211"/>
        </w:trPr>
        <w:tc>
          <w:tcPr>
            <w:tcW w:w="1700" w:type="dxa"/>
            <w:vAlign w:val="bottom"/>
          </w:tcPr>
          <w:p>
            <w:pPr>
              <w:spacing w:after="0"/>
              <w:rPr>
                <w:sz w:val="20"/>
                <w:szCs w:val="20"/>
                <w:color w:val="auto"/>
              </w:rPr>
            </w:pPr>
            <w:r>
              <w:rPr>
                <w:rFonts w:ascii="Arial" w:cs="Arial" w:eastAsia="Arial" w:hAnsi="Arial"/>
                <w:sz w:val="18"/>
                <w:szCs w:val="18"/>
                <w:color w:val="auto"/>
              </w:rPr>
              <w:t>Prospectus dated</w:t>
            </w:r>
          </w:p>
        </w:tc>
        <w:tc>
          <w:tcPr>
            <w:tcW w:w="800" w:type="dxa"/>
            <w:vAlign w:val="bottom"/>
          </w:tcPr>
          <w:p>
            <w:pPr>
              <w:jc w:val="right"/>
              <w:spacing w:after="0"/>
              <w:rPr>
                <w:sz w:val="20"/>
                <w:szCs w:val="20"/>
                <w:color w:val="auto"/>
              </w:rPr>
            </w:pPr>
            <w:r>
              <w:rPr>
                <w:rFonts w:ascii="Arial" w:cs="Arial" w:eastAsia="Arial" w:hAnsi="Arial"/>
                <w:sz w:val="18"/>
                <w:szCs w:val="18"/>
                <w:color w:val="auto"/>
              </w:rPr>
              <w:t>, 2006</w:t>
            </w: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220345</wp:posOffset>
            </wp:positionV>
            <wp:extent cx="6586220" cy="8627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6220" cy="862711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220345</wp:posOffset>
            </wp:positionV>
            <wp:extent cx="6303010" cy="8849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3010" cy="88499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220345</wp:posOffset>
            </wp:positionV>
            <wp:extent cx="6612255" cy="8849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499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0" w:type="dxa"/>
            <w:vAlign w:val="bottom"/>
            <w:gridSpan w:val="2"/>
          </w:tcPr>
          <w:p>
            <w:pPr>
              <w:ind w:left="13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500" w:type="dxa"/>
            <w:vAlign w:val="bottom"/>
            <w:tcBorders>
              <w:bottom w:val="single" w:sz="8" w:color="0000EE"/>
            </w:tcBorders>
            <w:gridSpan w:val="14"/>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Prospectus Summary</w:t>
              </w:r>
            </w:hyperlink>
          </w:p>
        </w:tc>
        <w:tc>
          <w:tcPr>
            <w:tcW w:w="9560" w:type="dxa"/>
            <w:vAlign w:val="bottom"/>
            <w:gridSpan w:val="1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10160" w:type="dxa"/>
            <w:vAlign w:val="bottom"/>
            <w:gridSpan w:val="2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Forward-Looking Statements</w:t>
              </w:r>
            </w:hyperlink>
          </w:p>
        </w:tc>
        <w:tc>
          <w:tcPr>
            <w:tcW w:w="898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Dividend Policy</w:t>
              </w:r>
            </w:hyperlink>
          </w:p>
        </w:tc>
        <w:tc>
          <w:tcPr>
            <w:tcW w:w="990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Capitalization</w:t>
              </w:r>
            </w:hyperlink>
          </w:p>
        </w:tc>
        <w:tc>
          <w:tcPr>
            <w:tcW w:w="1006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Dilution</w:t>
              </w:r>
            </w:hyperlink>
          </w:p>
        </w:tc>
        <w:tc>
          <w:tcPr>
            <w:tcW w:w="10460" w:type="dxa"/>
            <w:vAlign w:val="bottom"/>
            <w:gridSpan w:val="2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Exchange Rate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36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Enforceability of Civil Liabilities</w:t>
              </w:r>
            </w:hyperlink>
          </w:p>
        </w:tc>
        <w:tc>
          <w:tcPr>
            <w:tcW w:w="870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4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Corporate Structure</w:t>
              </w:r>
            </w:hyperlink>
          </w:p>
        </w:tc>
        <w:tc>
          <w:tcPr>
            <w:tcW w:w="966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Selected Consolidated Condensed Financial Data</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5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Recent Developments</w:t>
              </w:r>
            </w:hyperlink>
          </w:p>
        </w:tc>
        <w:tc>
          <w:tcPr>
            <w:tcW w:w="1900" w:type="dxa"/>
            <w:vAlign w:val="bottom"/>
            <w:tcBorders>
              <w:top w:val="single" w:sz="8" w:color="0000EE"/>
            </w:tcBorders>
            <w:gridSpan w:val="11"/>
          </w:tcPr>
          <w:p>
            <w:pPr>
              <w:spacing w:after="0"/>
              <w:rPr>
                <w:sz w:val="17"/>
                <w:szCs w:val="17"/>
                <w:color w:val="auto"/>
              </w:rPr>
            </w:pPr>
          </w:p>
        </w:tc>
        <w:tc>
          <w:tcPr>
            <w:tcW w:w="76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78">
              <w:r>
                <w:rPr>
                  <w:rFonts w:ascii="Arial" w:cs="Arial" w:eastAsia="Arial" w:hAnsi="Arial"/>
                  <w:sz w:val="18"/>
                  <w:szCs w:val="18"/>
                  <w:color w:val="0000EE"/>
                  <w:w w:val="84"/>
                </w:rPr>
                <w:t>Business</w:t>
              </w:r>
            </w:hyperlink>
          </w:p>
        </w:tc>
        <w:tc>
          <w:tcPr>
            <w:tcW w:w="5660" w:type="dxa"/>
            <w:vAlign w:val="bottom"/>
            <w:tcBorders>
              <w:top w:val="single" w:sz="8" w:color="0000EE"/>
            </w:tcBorders>
            <w:gridSpan w:val="23"/>
          </w:tcPr>
          <w:p>
            <w:pPr>
              <w:spacing w:after="0"/>
              <w:rPr>
                <w:sz w:val="17"/>
                <w:szCs w:val="17"/>
                <w:color w:val="auto"/>
              </w:rPr>
            </w:pPr>
          </w:p>
        </w:tc>
        <w:tc>
          <w:tcPr>
            <w:tcW w:w="47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Regulations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Principal Shareholders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11">
              <w:r>
                <w:rPr>
                  <w:rFonts w:ascii="Arial" w:cs="Arial" w:eastAsia="Arial" w:hAnsi="Arial"/>
                  <w:sz w:val="18"/>
                  <w:szCs w:val="18"/>
                  <w:color w:val="0000EE"/>
                  <w:w w:val="87"/>
                </w:rPr>
                <w:t>Related Party Transactions</w:t>
              </w:r>
            </w:hyperlink>
          </w:p>
        </w:tc>
        <w:tc>
          <w:tcPr>
            <w:tcW w:w="912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20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Description of Share Capital</w:t>
              </w:r>
            </w:hyperlink>
          </w:p>
        </w:tc>
        <w:tc>
          <w:tcPr>
            <w:tcW w:w="904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30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Description of American Depositary Shares</w:t>
              </w:r>
            </w:hyperlink>
          </w:p>
        </w:tc>
        <w:tc>
          <w:tcPr>
            <w:tcW w:w="798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21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28">
              <w:r>
                <w:rPr>
                  <w:rFonts w:ascii="Arial" w:cs="Arial" w:eastAsia="Arial" w:hAnsi="Arial"/>
                  <w:sz w:val="18"/>
                  <w:szCs w:val="18"/>
                  <w:color w:val="0000EE"/>
                  <w:w w:val="88"/>
                </w:rPr>
                <w:t>Shares Eligible for Future Sale</w:t>
              </w:r>
            </w:hyperlink>
          </w:p>
        </w:tc>
        <w:tc>
          <w:tcPr>
            <w:tcW w:w="888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30">
              <w:r>
                <w:rPr>
                  <w:rFonts w:ascii="Arial" w:cs="Arial" w:eastAsia="Arial" w:hAnsi="Arial"/>
                  <w:sz w:val="18"/>
                  <w:szCs w:val="18"/>
                  <w:color w:val="0000EE"/>
                  <w:w w:val="86"/>
                </w:rPr>
                <w:t>Taxation</w:t>
              </w:r>
            </w:hyperlink>
          </w:p>
        </w:tc>
        <w:tc>
          <w:tcPr>
            <w:tcW w:w="1044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9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35">
              <w:r>
                <w:rPr>
                  <w:rFonts w:ascii="Arial" w:cs="Arial" w:eastAsia="Arial" w:hAnsi="Arial"/>
                  <w:sz w:val="18"/>
                  <w:szCs w:val="18"/>
                  <w:color w:val="0000EE"/>
                  <w:w w:val="93"/>
                </w:rPr>
                <w:t>Underwriting</w:t>
              </w:r>
            </w:hyperlink>
          </w:p>
        </w:tc>
        <w:tc>
          <w:tcPr>
            <w:tcW w:w="1010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210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140">
              <w:r>
                <w:rPr>
                  <w:rFonts w:ascii="Arial" w:cs="Arial" w:eastAsia="Arial" w:hAnsi="Arial"/>
                  <w:sz w:val="18"/>
                  <w:szCs w:val="18"/>
                  <w:color w:val="0000EE"/>
                  <w:w w:val="87"/>
                </w:rPr>
                <w:t>Notice to Canadian Residents</w:t>
              </w:r>
            </w:hyperlink>
          </w:p>
        </w:tc>
        <w:tc>
          <w:tcPr>
            <w:tcW w:w="896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244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Expenses Relating to this Offering</w:t>
              </w:r>
            </w:hyperlink>
          </w:p>
        </w:tc>
        <w:tc>
          <w:tcPr>
            <w:tcW w:w="862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Legal Matters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9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Experts</w:t>
              </w:r>
            </w:hyperlink>
          </w:p>
        </w:tc>
        <w:tc>
          <w:tcPr>
            <w:tcW w:w="1008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2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Where You Can Find Additional Information</w:t>
              </w:r>
            </w:hyperlink>
          </w:p>
        </w:tc>
        <w:tc>
          <w:tcPr>
            <w:tcW w:w="788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30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Index to Consolidated Financial Statements</w:t>
              </w:r>
            </w:hyperlink>
          </w:p>
        </w:tc>
        <w:tc>
          <w:tcPr>
            <w:tcW w:w="798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61"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No dealer, salesperson or other person is authorized to give any information or to represent anything not contained in this prospectus. You must not rely on any unauthorized information or representations. This prospectus is an offer to sell only the ADSs offered hereby, but only under circumstances and in jurisdictions where it is lawful to do so. The information in this prospectus is current only as of the date of this prospectus.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this offering, the underwriters or any person acting on their behalf may over-allot or effect transactions with a view to supporting the market price of the ADSs at a level higher than that which might otherwise prevail for a limited period of time after the issue date. However, there is no obligation on the underwriters or their respective agents to do this. Such stabilization, if commenced, may be discontinued at any time, and must be brought to an end after a limited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Business</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the largest provider of private educational services in China based on the number of program offerings, total student enrollments and geographic presence. We offer a wide range of educational programs, services and products consisting primarily of English and other foreign language training, test preparation courses for major admissions and assessment tests in the United States, the PRC and Commonwealth countries, primary and secondary school education, development and distribution of educational content, software and other technology, and online education. We provide educational services under our “New Oriental” brand, which is the best brand in China’s English language education market according to a report published in June 2005 by the Social Survey Institute of China, or SSIC, a leading social survey and research firm in China. We believe our “New Oriental” brand is the leading consumer brand in China’s private education sector, as evidenced by awards we received from many national print and online media sources in China, including the “Most Influential Education Brand in 2005” from Southern China Metropolitan Daily, a newspaper with nationwide circulation, and the “2004 Top Ten Largest Private Educational Organizations in China” from China Fortune, one of the leading finance journals in China .</w:t>
      </w:r>
    </w:p>
    <w:p>
      <w:pPr>
        <w:spacing w:after="0" w:line="10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Since our inception in 1993, we have had over three million cumulative student enrollments. In the fiscal year ended May 31, 2006, we had over 872,000 student enrollments, including approximately 497,000 student enrollments in our language training programs and approximately 375,000 student enrollments in our test preparation courses. We deliver our educational programs, services and products to students through an extensive physical network of 25 schools, 111 learning centers and 13 bookstores operated by us as of May 31, 2006, over 5,000 third-party bookstores and approximately 1,700 teachers in 24 cities, as well as through our virtual online network, which has approximately two million registered users.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experienced significant growth in our business in recent years. Our total net revenues increased from RMB441.8 million for the fiscal year ended May 31, 2004 to RMB770.3 million (US$96.1 million) for the fiscal year ended May 31, 2006, representing a compound annual growth rate, or CAGR, of 32.0%. Net revenues from our language training and test preparation courses accounted for 96.0%, 91.9% and 89.2%, respectively, of our total net revenues in the fiscal years ended May 31, 2004, 2005 and 2006. Our net income increased from RMB52.4 million in the fiscal year ended May 31, 2004 to RMB142.0 million in the fiscal year ended May 31, 2005, but decreased to RMB49.4 million (US$6.2 million) in the fiscal year ended May 31, 2006 primarily due to the RMB64.5 million (US$8.0 million) share-based compensation expenses we incurred in the year.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Opportunity</w:t>
      </w:r>
    </w:p>
    <w:p>
      <w:pPr>
        <w:spacing w:after="0" w:line="164"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primarily target students between the ages of five and 29 living in urban areas in China. According to China Statistical Yearbook (2005) published by the National Bureau of Statistics of China, in 2004, approximately 457 million people in China were between the ages of five and 29. In 2004, China had eight cities each with a population of over four million, 50 cities each with a population of over one million and 131 cities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each with a population of over 500,000, according to China Demographics Yearbook (2005) published by the National Bureau of Statistics of China. In the fiscal year ended May 31, 2006, we generated approximately two-thirds of our revenues from four cities in China: Beijing, Shanghai, Guangzhou and Wuhan, each of which has a population of over four million.</w:t>
      </w:r>
    </w:p>
    <w:p>
      <w:pPr>
        <w:spacing w:after="0" w:line="1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size of the education market in China was approximately RMB580 billion (US$72 billion) in 2004, of which the size of the English language training market was approximately RMB15 billion (US$1.9 billion) and is expected to grow to approximately RMB30 billion (US$3.7 billion) in 2010, at a CAGR of 12.3%, according to China Education and Training Industry Research Report (2005-2006) published by Beijing Heading Century Consulting Co., Ltd., a third-party consulting and market research firm. The demand for English language training is primarily driven by China’s accelerating integration into the global economy, which has resulted in increasing career opportunities for native Chinese speakers who are able to communicate effectively in English. The belief that English language proficiency is essential for career development and advancement is gaining increasing acceptance in China.</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addition, over 100,000 Chinese students traveled overseas each year to enroll in higher education programs since 2002, according to China Statistical Yearbook (2005). To gain admission into colleges, graduate schools and professional schools in the United States and many other countries, applicants typically must take admissions and assessment tests conducted in English, such as TOEFL, IELTS, GRE, GMAT, LSAT and SAT. English proficiency is also tested as a major subject for admission to colleges and graduate schools in China. As urban citizens in China are increasingly recognizing that higher education leads to greater rewards in terms of income and career opportunities, there is strong demand for test preparation courses for admissions and assessment tests required by higher educational institutions in China and abroad.</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Public schools in China are generally required to use government-approved curricula. In contrast, private schools in China, while also heavily regulated, have greater flexibility to teach additional subjects and emphasize specific subjects, such as English language, to meet students’ needs, and to deliver education in a small-group setting. As a result, there is strong demand for high-quality private education and training among urban citizens in China.</w:t>
      </w:r>
    </w:p>
    <w:p>
      <w:pPr>
        <w:spacing w:after="0" w:line="8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Our Strengths, Strategies and Risks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competitive strengths contribute to our success and differentiate us from our competitors:</w:t>
      </w:r>
    </w:p>
    <w:p>
      <w:pPr>
        <w:spacing w:after="0" w:line="158"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most recognized private education brand in China;</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leading market position in multiple high growth areas of education;</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extensive program, service and product offerings;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unparalleled national scale and network;</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innovative and inspirational instruction;</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track record;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experienced management team with a passion for education.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goal is to strengthen our position as the largest provider of private educational services in China. We intend to leverage our brand and extensive national network to achieve our goal by pursuing the following growth strategies:</w:t>
      </w:r>
    </w:p>
    <w:p>
      <w:pPr>
        <w:spacing w:after="0" w:line="118"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new schools and learning centers;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student enrollments and course fees at our existing schools and learning centers;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program, service and product offerings;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leverage and expand our content distribution channels;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 to strengthen existing, and pursue new, strategic relationships with educational content providers and other complementary businesses.</w:t>
      </w:r>
    </w:p>
    <w:p>
      <w:pPr>
        <w:spacing w:after="0" w:line="20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successful execution of our strategies is subject to certain risks and uncertainties, including uncertainties regarding our ability to enhance and expand our program, service and product offerings in a timely manner in response to evolving student demands, expand our geographic reach, respond to competitive pressures and manage our growth effectively and efficiently while maintaining the consistency of our teaching quality and materials, as well as risks associated with excessive expenses that may be incurred in opening new schools and learning centers. See “Risk Factors” and “Forward-Looking Statements” for a discussion of these risks and uncertainties.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Corporate History and Structure</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commenced operations in China in 1993. We established a holding company on August 18, 2004 as a company formed under the laws of the British Virgin Islands, and changed our corporate domicile to the Cayman Islands on January 25, 2006. We are currently 39.6% owned by Tigerstep Developments Limited, or Tigerstep, a company associated with Michael Minhong Yu, our founder, Chairman and Chief Executive Officer. Our other shareholders include other founders of our company and their affiliates, as well as entities affiliated with Tiger Global Private Investment Partners II, L.P., or Tiger Global. PRC laws and regulations currently require any foreign entity that invests in the education business in China to be an educational institution with relevant experience in providing education outside China. Our Cayman Islands holding company is not an educational institution and does not provide educational services. In addition, PRC laws and regulations prohibit foreign ownership of primary and middle schools for students in grades one to nine in China. Accordingly, we conduct our education business in China primarily through contractual arrangements among our subsidiaries in China and Beijing New Oriental Education &amp; Technology (Group) Co., Ltd., or New Oriental China, and its subsidiaries. New Oriental China is our consolidated affiliated entity established in China. New Oriental China and its subsidiaries hold the licenses and permits necessary to conduct our education business in China and directly operate our schools, learning centers, bookstores and online education business. These contractual arrangements enable us to:</w:t>
      </w:r>
    </w:p>
    <w:p>
      <w:pPr>
        <w:spacing w:after="0" w:line="114"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exercise effective control over New Oriental China and its subsidiaries;</w:t>
      </w:r>
    </w:p>
    <w:p>
      <w:pPr>
        <w:spacing w:after="0" w:line="184"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 a substantial portion of the economic benefits from New Oriental China and its subsidiaries in consideration for the services provided by our wholly owned subsidiaries in China; and</w:t>
      </w:r>
    </w:p>
    <w:p>
      <w:pPr>
        <w:spacing w:after="0" w:line="118"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an exclusive option to purchase all or part of the equity interests in New Oriental China and all or part of the equity interests in its subsidiaries, as well as all or part of the assets of New Oriental China, in each case when and to the extent permitted by applicable PRC law.</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See “Corporate Structure—Our Corporate Structure and Contractual Arrangements” and “Related Party Transactions—Contractual Arrangements with New Oriental China and Its Subsidiaries and Shareholders” for further information on our contractual arrangements with these parties.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Offices</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principal executive offices are located at No. 6 Hai Dian Zhong Street, Haidian District, Beijing 100080, People’s Republic of China. Our telephone number at this address is +(8610) 6260-5566. Our registered office in the Cayman Islands is located at Codan Trust Company (Cayman) Limited, Century Yard, Cricket Square, Hutchins Drive, P.O. Box 2681GT, George Town, Grand Cayman, British West Indies, Cayman Islands. Our telephone number at this address is + (1) 345-949-1040. In addition, we have branch offices in 18 cities in China and one branch office in Vancouver, Canada.</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Investors should submit any inquiries to the address and telephone number of our principal executive offices. Our principal websites are </w:t>
      </w:r>
      <w:r>
        <w:rPr>
          <w:rFonts w:ascii="Arial" w:cs="Arial" w:eastAsia="Arial" w:hAnsi="Arial"/>
          <w:sz w:val="16"/>
          <w:szCs w:val="16"/>
          <w:i w:val="1"/>
          <w:iCs w:val="1"/>
          <w:color w:val="auto"/>
        </w:rPr>
        <w:t>www.neworiental.org</w:t>
      </w:r>
      <w:r>
        <w:rPr>
          <w:rFonts w:ascii="Arial" w:cs="Arial" w:eastAsia="Arial" w:hAnsi="Arial"/>
          <w:sz w:val="16"/>
          <w:szCs w:val="16"/>
          <w:color w:val="auto"/>
        </w:rPr>
        <w:t>,</w:t>
      </w:r>
      <w:r>
        <w:rPr>
          <w:rFonts w:ascii="Arial" w:cs="Arial" w:eastAsia="Arial" w:hAnsi="Arial"/>
          <w:sz w:val="16"/>
          <w:szCs w:val="16"/>
          <w:i w:val="1"/>
          <w:iCs w:val="1"/>
          <w:color w:val="auto"/>
        </w:rPr>
        <w:t xml:space="preserve"> www.koolearn.com </w:t>
      </w:r>
      <w:r>
        <w:rPr>
          <w:rFonts w:ascii="Arial" w:cs="Arial" w:eastAsia="Arial" w:hAnsi="Arial"/>
          <w:sz w:val="16"/>
          <w:szCs w:val="16"/>
          <w:color w:val="auto"/>
        </w:rPr>
        <w:t>and</w:t>
      </w:r>
      <w:r>
        <w:rPr>
          <w:rFonts w:ascii="Arial" w:cs="Arial" w:eastAsia="Arial" w:hAnsi="Arial"/>
          <w:sz w:val="16"/>
          <w:szCs w:val="16"/>
          <w:i w:val="1"/>
          <w:iCs w:val="1"/>
          <w:color w:val="auto"/>
        </w:rPr>
        <w:t xml:space="preserve"> www.tol24.com</w:t>
      </w:r>
      <w:r>
        <w:rPr>
          <w:rFonts w:ascii="Arial" w:cs="Arial" w:eastAsia="Arial" w:hAnsi="Arial"/>
          <w:sz w:val="16"/>
          <w:szCs w:val="16"/>
          <w:color w:val="auto"/>
        </w:rPr>
        <w:t>. The information contained on these websites and our other websites is not a part of this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Our agent for service of process in the United States is CT Corporation System, located at 111 Eighth Avenue, New York, New York 10011.</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Conventions Which Apply to this Prospectus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indicate otherwise, all information in this prospectus reflects the following:</w:t>
      </w:r>
    </w:p>
    <w:p>
      <w:pPr>
        <w:spacing w:after="0" w:line="158"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 exercise by the underwriters of their option to purchase up to 1,125,000 additional ADSs representing 4,500,000 common shares; and</w:t>
      </w:r>
    </w:p>
    <w:p>
      <w:pPr>
        <w:spacing w:after="0" w:line="207"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conversion of all outstanding preferred shares into common shares immediately prior to the closing of this offering.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58" w:lineRule="exact"/>
        <w:rPr>
          <w:sz w:val="20"/>
          <w:szCs w:val="20"/>
          <w:color w:val="auto"/>
        </w:rPr>
      </w:pPr>
    </w:p>
    <w:p>
      <w:pPr>
        <w:ind w:left="780" w:right="160" w:hanging="326"/>
        <w:spacing w:after="0" w:line="332"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“us,” “our company” or “our” refers to New Oriental Education &amp; Technology Group Inc., its predecessor entities and subsidiaries and, in the context of describing our operations and consolidated financial data, also include New Oriental China and its subsidiaries;</w:t>
      </w:r>
    </w:p>
    <w:p>
      <w:pPr>
        <w:spacing w:after="0" w:line="71"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Taiwan, Hong Kong and Macau;</w:t>
      </w:r>
    </w:p>
    <w:p>
      <w:pPr>
        <w:spacing w:after="0" w:line="184"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Oriental China” refers to our consolidated affiliated entity in the PRC, Beijing New Oriental Education &amp; Technology (Group) Co., Ltd., and its subsidiaries;</w:t>
      </w:r>
    </w:p>
    <w:p>
      <w:pPr>
        <w:spacing w:after="0" w:line="118" w:lineRule="exact"/>
        <w:rPr>
          <w:rFonts w:ascii="Arial" w:cs="Arial" w:eastAsia="Arial" w:hAnsi="Arial"/>
          <w:sz w:val="18"/>
          <w:szCs w:val="18"/>
          <w:color w:val="auto"/>
        </w:rPr>
      </w:pPr>
    </w:p>
    <w:p>
      <w:pPr>
        <w:ind w:left="780" w:right="60" w:hanging="326"/>
        <w:spacing w:after="0" w:line="332"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“student enrollments” refers to the cumulative total number of courses enrolled in and paid for by our students, including multiple courses enrolled in and paid for by the same student but excluding courses offered at our primary and secondary school in Yangzhou, China;</w:t>
      </w:r>
    </w:p>
    <w:p>
      <w:pPr>
        <w:spacing w:after="0" w:line="71"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or “common shares” refers to our common shares; “preferred shares” refers to our Series A convertible preferred shares;</w:t>
      </w:r>
    </w:p>
    <w:p>
      <w:pPr>
        <w:spacing w:after="0" w:line="184"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four common shares, and “ADRs” refers to the American depositary receipts that evidence our ADSs; and</w:t>
      </w:r>
    </w:p>
    <w:p>
      <w:pPr>
        <w:spacing w:after="0" w:line="118"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 and “$,” “dollars,” “US$” or “U.S. dollars” refers to the legal currency of the United States.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Glossary of Major Admissions and Assessment Tests</w:t>
      </w:r>
    </w:p>
    <w:p>
      <w:pPr>
        <w:sectPr>
          <w:pgSz w:w="11900" w:h="16838" w:orient="portrait"/>
          <w:cols w:equalWidth="0" w:num="1">
            <w:col w:w="10219"/>
          </w:cols>
          <w:pgMar w:left="240" w:top="459" w:right="1440"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CET 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CET 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GMAT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IELTS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LSAT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TOEFL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TOEIC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TSE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American College Test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Business English Certificate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College English Test Level 4 (PRC)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College English Test Level 6 (PRC)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Graduate Management Admission Test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Graduate Record Examination (US)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International English Language Testing System (Commonwealth countries)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Law School Admission Test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Public English Test System (PRC)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SAT College Entrance Test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Test of English as a Foreign Language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Test of English for International Communication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Test of Spoken English (US)</w:t>
      </w:r>
    </w:p>
    <w:p>
      <w:pPr>
        <w:spacing w:after="0" w:line="17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400" w:space="720"/>
            <w:col w:w="6099"/>
          </w:cols>
          <w:pgMar w:left="240" w:top="45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information assumes that the underwriters will not exercise their option to purchase additional ADSs in the offering, unless otherwise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Offering price</w:t>
            </w:r>
          </w:p>
        </w:tc>
        <w:tc>
          <w:tcPr>
            <w:tcW w:w="7500" w:type="dxa"/>
            <w:vAlign w:val="bottom"/>
            <w:gridSpan w:val="2"/>
          </w:tcPr>
          <w:p>
            <w:pPr>
              <w:ind w:left="260"/>
              <w:spacing w:after="0"/>
              <w:rPr>
                <w:sz w:val="20"/>
                <w:szCs w:val="20"/>
                <w:color w:val="auto"/>
              </w:rPr>
            </w:pPr>
            <w:r>
              <w:rPr>
                <w:rFonts w:ascii="Arial" w:cs="Arial" w:eastAsia="Arial" w:hAnsi="Arial"/>
                <w:sz w:val="18"/>
                <w:szCs w:val="18"/>
                <w:color w:val="auto"/>
                <w:w w:val="89"/>
              </w:rPr>
              <w:t>We currently estimate that the initial public offering price will be between US$11.00 and US$13.00 per</w:t>
            </w:r>
          </w:p>
        </w:tc>
      </w:tr>
      <w:tr>
        <w:trPr>
          <w:trHeight w:val="222"/>
        </w:trPr>
        <w:tc>
          <w:tcPr>
            <w:tcW w:w="3860" w:type="dxa"/>
            <w:vAlign w:val="bottom"/>
          </w:tcPr>
          <w:p>
            <w:pPr>
              <w:spacing w:after="0"/>
              <w:rPr>
                <w:sz w:val="19"/>
                <w:szCs w:val="19"/>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ADS.</w:t>
            </w:r>
          </w:p>
        </w:tc>
        <w:tc>
          <w:tcPr>
            <w:tcW w:w="6780" w:type="dxa"/>
            <w:vAlign w:val="bottom"/>
          </w:tcPr>
          <w:p>
            <w:pPr>
              <w:spacing w:after="0"/>
              <w:rPr>
                <w:sz w:val="19"/>
                <w:szCs w:val="19"/>
                <w:color w:val="auto"/>
              </w:rPr>
            </w:pPr>
          </w:p>
        </w:tc>
      </w:tr>
      <w:tr>
        <w:trPr>
          <w:trHeight w:val="378"/>
        </w:trPr>
        <w:tc>
          <w:tcPr>
            <w:tcW w:w="3860" w:type="dxa"/>
            <w:vAlign w:val="bottom"/>
          </w:tcPr>
          <w:p>
            <w:pPr>
              <w:spacing w:after="0"/>
              <w:rPr>
                <w:sz w:val="20"/>
                <w:szCs w:val="20"/>
                <w:color w:val="auto"/>
              </w:rPr>
            </w:pPr>
            <w:r>
              <w:rPr>
                <w:rFonts w:ascii="Arial" w:cs="Arial" w:eastAsia="Arial" w:hAnsi="Arial"/>
                <w:sz w:val="18"/>
                <w:szCs w:val="18"/>
                <w:color w:val="auto"/>
              </w:rPr>
              <w:t>ADSs offered by us</w:t>
            </w:r>
          </w:p>
        </w:tc>
        <w:tc>
          <w:tcPr>
            <w:tcW w:w="7500" w:type="dxa"/>
            <w:vAlign w:val="bottom"/>
            <w:gridSpan w:val="2"/>
          </w:tcPr>
          <w:p>
            <w:pPr>
              <w:ind w:left="260"/>
              <w:spacing w:after="0"/>
              <w:rPr>
                <w:sz w:val="20"/>
                <w:szCs w:val="20"/>
                <w:color w:val="auto"/>
              </w:rPr>
            </w:pPr>
            <w:r>
              <w:rPr>
                <w:rFonts w:ascii="Arial" w:cs="Arial" w:eastAsia="Arial" w:hAnsi="Arial"/>
                <w:sz w:val="18"/>
                <w:szCs w:val="18"/>
                <w:color w:val="auto"/>
              </w:rPr>
              <w:t>7,500,000 ADSs.</w:t>
            </w:r>
          </w:p>
        </w:tc>
      </w:tr>
      <w:tr>
        <w:trPr>
          <w:trHeight w:val="378"/>
        </w:trPr>
        <w:tc>
          <w:tcPr>
            <w:tcW w:w="3860" w:type="dxa"/>
            <w:vAlign w:val="bottom"/>
          </w:tcPr>
          <w:p>
            <w:pPr>
              <w:spacing w:after="0"/>
              <w:rPr>
                <w:sz w:val="20"/>
                <w:szCs w:val="20"/>
                <w:color w:val="auto"/>
              </w:rPr>
            </w:pPr>
            <w:r>
              <w:rPr>
                <w:rFonts w:ascii="Arial" w:cs="Arial" w:eastAsia="Arial" w:hAnsi="Arial"/>
                <w:sz w:val="18"/>
                <w:szCs w:val="18"/>
                <w:color w:val="auto"/>
                <w:w w:val="99"/>
              </w:rPr>
              <w:t>ADSs outstanding immediately after this offering</w:t>
            </w:r>
          </w:p>
        </w:tc>
        <w:tc>
          <w:tcPr>
            <w:tcW w:w="7500" w:type="dxa"/>
            <w:vAlign w:val="bottom"/>
            <w:gridSpan w:val="2"/>
          </w:tcPr>
          <w:p>
            <w:pPr>
              <w:ind w:left="260"/>
              <w:spacing w:after="0"/>
              <w:rPr>
                <w:sz w:val="20"/>
                <w:szCs w:val="20"/>
                <w:color w:val="auto"/>
              </w:rPr>
            </w:pPr>
            <w:r>
              <w:rPr>
                <w:rFonts w:ascii="Arial" w:cs="Arial" w:eastAsia="Arial" w:hAnsi="Arial"/>
                <w:sz w:val="18"/>
                <w:szCs w:val="18"/>
                <w:color w:val="auto"/>
              </w:rPr>
              <w:t>7,500,000 ADSs.</w:t>
            </w:r>
          </w:p>
        </w:tc>
      </w:tr>
      <w:tr>
        <w:trPr>
          <w:trHeight w:val="372"/>
        </w:trPr>
        <w:tc>
          <w:tcPr>
            <w:tcW w:w="3860" w:type="dxa"/>
            <w:vAlign w:val="bottom"/>
          </w:tcPr>
          <w:p>
            <w:pPr>
              <w:spacing w:after="0"/>
              <w:rPr>
                <w:sz w:val="20"/>
                <w:szCs w:val="20"/>
                <w:color w:val="auto"/>
              </w:rPr>
            </w:pPr>
            <w:r>
              <w:rPr>
                <w:rFonts w:ascii="Arial" w:cs="Arial" w:eastAsia="Arial" w:hAnsi="Arial"/>
                <w:sz w:val="18"/>
                <w:szCs w:val="18"/>
                <w:color w:val="auto"/>
                <w:w w:val="94"/>
              </w:rPr>
              <w:t>Common shares outstanding immediately after this</w:t>
            </w:r>
          </w:p>
        </w:tc>
        <w:tc>
          <w:tcPr>
            <w:tcW w:w="7500" w:type="dxa"/>
            <w:vAlign w:val="bottom"/>
            <w:gridSpan w:val="2"/>
          </w:tcPr>
          <w:p>
            <w:pPr>
              <w:ind w:left="260"/>
              <w:spacing w:after="0"/>
              <w:rPr>
                <w:sz w:val="20"/>
                <w:szCs w:val="20"/>
                <w:color w:val="auto"/>
              </w:rPr>
            </w:pPr>
            <w:r>
              <w:rPr>
                <w:rFonts w:ascii="Arial" w:cs="Arial" w:eastAsia="Arial" w:hAnsi="Arial"/>
                <w:sz w:val="18"/>
                <w:szCs w:val="18"/>
                <w:color w:val="auto"/>
              </w:rPr>
              <w:t>141,111,111 shares.</w:t>
            </w:r>
          </w:p>
        </w:tc>
      </w:tr>
      <w:tr>
        <w:trPr>
          <w:trHeight w:val="222"/>
        </w:trPr>
        <w:tc>
          <w:tcPr>
            <w:tcW w:w="3860" w:type="dxa"/>
            <w:vAlign w:val="bottom"/>
          </w:tcPr>
          <w:p>
            <w:pPr>
              <w:ind w:left="80"/>
              <w:spacing w:after="0"/>
              <w:rPr>
                <w:sz w:val="20"/>
                <w:szCs w:val="20"/>
                <w:color w:val="auto"/>
              </w:rPr>
            </w:pPr>
            <w:r>
              <w:rPr>
                <w:rFonts w:ascii="Arial" w:cs="Arial" w:eastAsia="Arial" w:hAnsi="Arial"/>
                <w:sz w:val="18"/>
                <w:szCs w:val="18"/>
                <w:color w:val="auto"/>
              </w:rPr>
              <w:t>offering</w:t>
            </w:r>
          </w:p>
        </w:tc>
        <w:tc>
          <w:tcPr>
            <w:tcW w:w="720" w:type="dxa"/>
            <w:vAlign w:val="bottom"/>
          </w:tcPr>
          <w:p>
            <w:pPr>
              <w:spacing w:after="0"/>
              <w:rPr>
                <w:sz w:val="19"/>
                <w:szCs w:val="19"/>
                <w:color w:val="auto"/>
              </w:rPr>
            </w:pPr>
          </w:p>
        </w:tc>
        <w:tc>
          <w:tcPr>
            <w:tcW w:w="6780" w:type="dxa"/>
            <w:vAlign w:val="bottom"/>
          </w:tcPr>
          <w:p>
            <w:pPr>
              <w:spacing w:after="0"/>
              <w:rPr>
                <w:sz w:val="19"/>
                <w:szCs w:val="19"/>
                <w:color w:val="auto"/>
              </w:rPr>
            </w:pPr>
          </w:p>
        </w:tc>
      </w:tr>
      <w:tr>
        <w:trPr>
          <w:trHeight w:val="378"/>
        </w:trPr>
        <w:tc>
          <w:tcPr>
            <w:tcW w:w="3860" w:type="dxa"/>
            <w:vAlign w:val="bottom"/>
          </w:tcPr>
          <w:p>
            <w:pPr>
              <w:spacing w:after="0"/>
              <w:rPr>
                <w:sz w:val="20"/>
                <w:szCs w:val="20"/>
                <w:color w:val="auto"/>
              </w:rPr>
            </w:pPr>
            <w:r>
              <w:rPr>
                <w:rFonts w:ascii="Arial" w:cs="Arial" w:eastAsia="Arial" w:hAnsi="Arial"/>
                <w:sz w:val="18"/>
                <w:szCs w:val="18"/>
                <w:color w:val="auto"/>
              </w:rPr>
              <w:t>ADSs to common share ratio</w:t>
            </w:r>
          </w:p>
        </w:tc>
        <w:tc>
          <w:tcPr>
            <w:tcW w:w="7500" w:type="dxa"/>
            <w:vAlign w:val="bottom"/>
            <w:gridSpan w:val="2"/>
          </w:tcPr>
          <w:p>
            <w:pPr>
              <w:ind w:left="260"/>
              <w:spacing w:after="0"/>
              <w:rPr>
                <w:sz w:val="20"/>
                <w:szCs w:val="20"/>
                <w:color w:val="auto"/>
              </w:rPr>
            </w:pPr>
            <w:r>
              <w:rPr>
                <w:rFonts w:ascii="Arial" w:cs="Arial" w:eastAsia="Arial" w:hAnsi="Arial"/>
                <w:sz w:val="18"/>
                <w:szCs w:val="18"/>
                <w:color w:val="auto"/>
              </w:rPr>
              <w:t>Each ADS represents four common shares.</w:t>
            </w:r>
          </w:p>
        </w:tc>
      </w:tr>
      <w:tr>
        <w:trPr>
          <w:trHeight w:val="372"/>
        </w:trPr>
        <w:tc>
          <w:tcPr>
            <w:tcW w:w="3860" w:type="dxa"/>
            <w:vAlign w:val="bottom"/>
          </w:tcPr>
          <w:p>
            <w:pPr>
              <w:spacing w:after="0"/>
              <w:rPr>
                <w:sz w:val="20"/>
                <w:szCs w:val="20"/>
                <w:color w:val="auto"/>
              </w:rPr>
            </w:pPr>
            <w:r>
              <w:rPr>
                <w:rFonts w:ascii="Arial" w:cs="Arial" w:eastAsia="Arial" w:hAnsi="Arial"/>
                <w:sz w:val="18"/>
                <w:szCs w:val="18"/>
                <w:color w:val="auto"/>
              </w:rPr>
              <w:t>Listing</w:t>
            </w:r>
          </w:p>
        </w:tc>
        <w:tc>
          <w:tcPr>
            <w:tcW w:w="7500" w:type="dxa"/>
            <w:vAlign w:val="bottom"/>
            <w:gridSpan w:val="2"/>
          </w:tcPr>
          <w:p>
            <w:pPr>
              <w:ind w:left="260"/>
              <w:spacing w:after="0"/>
              <w:rPr>
                <w:sz w:val="20"/>
                <w:szCs w:val="20"/>
                <w:color w:val="auto"/>
              </w:rPr>
            </w:pPr>
            <w:r>
              <w:rPr>
                <w:rFonts w:ascii="Arial" w:cs="Arial" w:eastAsia="Arial" w:hAnsi="Arial"/>
                <w:sz w:val="18"/>
                <w:szCs w:val="18"/>
                <w:color w:val="auto"/>
                <w:w w:val="89"/>
              </w:rPr>
              <w:t>We have applied to have the ADSs listed on the New York Stock Exchange under the symbol “EDU.”</w:t>
            </w:r>
          </w:p>
        </w:tc>
      </w:tr>
      <w:tr>
        <w:trPr>
          <w:trHeight w:val="222"/>
        </w:trPr>
        <w:tc>
          <w:tcPr>
            <w:tcW w:w="3860" w:type="dxa"/>
            <w:vAlign w:val="bottom"/>
          </w:tcPr>
          <w:p>
            <w:pPr>
              <w:spacing w:after="0"/>
              <w:rPr>
                <w:sz w:val="19"/>
                <w:szCs w:val="19"/>
                <w:color w:val="auto"/>
              </w:rPr>
            </w:pPr>
          </w:p>
        </w:tc>
        <w:tc>
          <w:tcPr>
            <w:tcW w:w="7500" w:type="dxa"/>
            <w:vAlign w:val="bottom"/>
            <w:gridSpan w:val="2"/>
          </w:tcPr>
          <w:p>
            <w:pPr>
              <w:ind w:left="260"/>
              <w:spacing w:after="0"/>
              <w:rPr>
                <w:sz w:val="20"/>
                <w:szCs w:val="20"/>
                <w:color w:val="auto"/>
              </w:rPr>
            </w:pPr>
            <w:r>
              <w:rPr>
                <w:rFonts w:ascii="Arial" w:cs="Arial" w:eastAsia="Arial" w:hAnsi="Arial"/>
                <w:sz w:val="18"/>
                <w:szCs w:val="18"/>
                <w:color w:val="auto"/>
                <w:w w:val="87"/>
              </w:rPr>
              <w:t>The ADSs will not be listed on any other exchange or traded on any other automated quotation system.</w:t>
            </w:r>
          </w:p>
        </w:tc>
      </w:tr>
      <w:tr>
        <w:trPr>
          <w:trHeight w:val="378"/>
        </w:trPr>
        <w:tc>
          <w:tcPr>
            <w:tcW w:w="3860" w:type="dxa"/>
            <w:vAlign w:val="bottom"/>
          </w:tcPr>
          <w:p>
            <w:pPr>
              <w:spacing w:after="0"/>
              <w:rPr>
                <w:sz w:val="20"/>
                <w:szCs w:val="20"/>
                <w:color w:val="auto"/>
              </w:rPr>
            </w:pPr>
            <w:r>
              <w:rPr>
                <w:rFonts w:ascii="Arial" w:cs="Arial" w:eastAsia="Arial" w:hAnsi="Arial"/>
                <w:sz w:val="18"/>
                <w:szCs w:val="18"/>
                <w:color w:val="auto"/>
              </w:rPr>
              <w:t>The ADSs</w:t>
            </w:r>
          </w:p>
        </w:tc>
        <w:tc>
          <w:tcPr>
            <w:tcW w:w="7500" w:type="dxa"/>
            <w:vAlign w:val="bottom"/>
            <w:gridSpan w:val="2"/>
          </w:tcPr>
          <w:p>
            <w:pPr>
              <w:ind w:left="260"/>
              <w:spacing w:after="0"/>
              <w:rPr>
                <w:sz w:val="20"/>
                <w:szCs w:val="20"/>
                <w:color w:val="auto"/>
              </w:rPr>
            </w:pPr>
            <w:r>
              <w:rPr>
                <w:rFonts w:ascii="Arial" w:cs="Arial" w:eastAsia="Arial" w:hAnsi="Arial"/>
                <w:sz w:val="18"/>
                <w:szCs w:val="18"/>
                <w:color w:val="auto"/>
              </w:rPr>
              <w:t>The ADSs will be evidenced by American depositary receipts, or ADRs.</w:t>
            </w:r>
          </w:p>
        </w:tc>
      </w:tr>
      <w:tr>
        <w:trPr>
          <w:trHeight w:val="372"/>
        </w:trPr>
        <w:tc>
          <w:tcPr>
            <w:tcW w:w="386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6780" w:type="dxa"/>
            <w:vAlign w:val="bottom"/>
          </w:tcPr>
          <w:p>
            <w:pPr>
              <w:ind w:left="80"/>
              <w:spacing w:after="0"/>
              <w:rPr>
                <w:sz w:val="20"/>
                <w:szCs w:val="20"/>
                <w:color w:val="auto"/>
              </w:rPr>
            </w:pPr>
            <w:r>
              <w:rPr>
                <w:rFonts w:ascii="Arial" w:cs="Arial" w:eastAsia="Arial" w:hAnsi="Arial"/>
                <w:sz w:val="18"/>
                <w:szCs w:val="18"/>
                <w:color w:val="auto"/>
                <w:w w:val="90"/>
              </w:rPr>
              <w:t>The depositary will hold the shares underlying your ADSs. You will have rights as provided in</w:t>
            </w:r>
          </w:p>
        </w:tc>
      </w:tr>
      <w:tr>
        <w:trPr>
          <w:trHeight w:val="222"/>
        </w:trPr>
        <w:tc>
          <w:tcPr>
            <w:tcW w:w="3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the deposit agreement.</w:t>
            </w:r>
          </w:p>
        </w:tc>
      </w:tr>
      <w:tr>
        <w:trPr>
          <w:trHeight w:val="358"/>
        </w:trPr>
        <w:tc>
          <w:tcPr>
            <w:tcW w:w="386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6780" w:type="dxa"/>
            <w:vAlign w:val="bottom"/>
          </w:tcPr>
          <w:p>
            <w:pPr>
              <w:ind w:left="80"/>
              <w:spacing w:after="0"/>
              <w:rPr>
                <w:sz w:val="20"/>
                <w:szCs w:val="20"/>
                <w:color w:val="auto"/>
              </w:rPr>
            </w:pPr>
            <w:r>
              <w:rPr>
                <w:rFonts w:ascii="Arial" w:cs="Arial" w:eastAsia="Arial" w:hAnsi="Arial"/>
                <w:sz w:val="18"/>
                <w:szCs w:val="18"/>
                <w:color w:val="auto"/>
                <w:w w:val="89"/>
              </w:rPr>
              <w:t>If, however, we declare dividends on our common shares, the depositary will pay you the cash</w:t>
            </w:r>
          </w:p>
        </w:tc>
      </w:tr>
      <w:tr>
        <w:trPr>
          <w:trHeight w:val="216"/>
        </w:trPr>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w w:val="87"/>
              </w:rPr>
              <w:t>dividends and other distributions it receives on our common shares, after deducting its fees and</w:t>
            </w:r>
          </w:p>
        </w:tc>
      </w:tr>
      <w:tr>
        <w:trPr>
          <w:trHeight w:val="222"/>
        </w:trPr>
        <w:tc>
          <w:tcPr>
            <w:tcW w:w="3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expenses.</w:t>
            </w:r>
          </w:p>
        </w:tc>
      </w:tr>
      <w:tr>
        <w:trPr>
          <w:trHeight w:val="358"/>
        </w:trPr>
        <w:tc>
          <w:tcPr>
            <w:tcW w:w="386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6780" w:type="dxa"/>
            <w:vAlign w:val="bottom"/>
          </w:tcPr>
          <w:p>
            <w:pPr>
              <w:ind w:left="80"/>
              <w:spacing w:after="0"/>
              <w:rPr>
                <w:sz w:val="20"/>
                <w:szCs w:val="20"/>
                <w:color w:val="auto"/>
              </w:rPr>
            </w:pPr>
            <w:r>
              <w:rPr>
                <w:rFonts w:ascii="Arial" w:cs="Arial" w:eastAsia="Arial" w:hAnsi="Arial"/>
                <w:sz w:val="18"/>
                <w:szCs w:val="18"/>
                <w:color w:val="auto"/>
                <w:w w:val="89"/>
              </w:rPr>
              <w:t>You may turn in your ADSs to the depositary in exchange for common shares. The depositary</w:t>
            </w:r>
          </w:p>
        </w:tc>
      </w:tr>
      <w:tr>
        <w:trPr>
          <w:trHeight w:val="222"/>
        </w:trPr>
        <w:tc>
          <w:tcPr>
            <w:tcW w:w="3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will charge you fees for any exchange.</w:t>
            </w:r>
          </w:p>
        </w:tc>
      </w:tr>
      <w:tr>
        <w:trPr>
          <w:trHeight w:val="358"/>
        </w:trPr>
        <w:tc>
          <w:tcPr>
            <w:tcW w:w="386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6780" w:type="dxa"/>
            <w:vAlign w:val="bottom"/>
          </w:tcPr>
          <w:p>
            <w:pPr>
              <w:ind w:left="80"/>
              <w:spacing w:after="0"/>
              <w:rPr>
                <w:sz w:val="20"/>
                <w:szCs w:val="20"/>
                <w:color w:val="auto"/>
              </w:rPr>
            </w:pPr>
            <w:r>
              <w:rPr>
                <w:rFonts w:ascii="Arial" w:cs="Arial" w:eastAsia="Arial" w:hAnsi="Arial"/>
                <w:sz w:val="18"/>
                <w:szCs w:val="18"/>
                <w:color w:val="auto"/>
                <w:w w:val="91"/>
              </w:rPr>
              <w:t>We may amend or terminate the deposit agreement without your consent. If you continue to</w:t>
            </w:r>
          </w:p>
        </w:tc>
      </w:tr>
      <w:tr>
        <w:trPr>
          <w:trHeight w:val="222"/>
        </w:trPr>
        <w:tc>
          <w:tcPr>
            <w:tcW w:w="3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hold your ADSs, you agree to be bound by the deposit agreement as amended.</w:t>
            </w:r>
          </w:p>
        </w:tc>
      </w:tr>
    </w:tbl>
    <w:p>
      <w:pPr>
        <w:spacing w:after="0" w:line="142" w:lineRule="exact"/>
        <w:rPr>
          <w:sz w:val="20"/>
          <w:szCs w:val="20"/>
          <w:color w:val="auto"/>
        </w:rPr>
      </w:pPr>
    </w:p>
    <w:p>
      <w:pPr>
        <w:jc w:val="both"/>
        <w:ind w:left="4340"/>
        <w:spacing w:after="0" w:line="306" w:lineRule="auto"/>
        <w:rPr>
          <w:sz w:val="20"/>
          <w:szCs w:val="20"/>
          <w:color w:val="auto"/>
        </w:rPr>
      </w:pPr>
      <w:r>
        <w:rPr>
          <w:rFonts w:ascii="Arial" w:cs="Arial" w:eastAsia="Arial" w:hAnsi="Arial"/>
          <w:sz w:val="16"/>
          <w:szCs w:val="16"/>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93"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Depositary</w:t>
      </w:r>
      <w:r>
        <w:rPr>
          <w:sz w:val="20"/>
          <w:szCs w:val="20"/>
          <w:color w:val="auto"/>
        </w:rPr>
        <w:tab/>
      </w:r>
      <w:r>
        <w:rPr>
          <w:rFonts w:ascii="Arial" w:cs="Arial" w:eastAsia="Arial" w:hAnsi="Arial"/>
          <w:sz w:val="18"/>
          <w:szCs w:val="18"/>
          <w:color w:val="auto"/>
        </w:rPr>
        <w:t>Deutsche Bank Trust Company Americas.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Option to purchase additional ADSs</w:t>
            </w: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88"/>
              </w:rPr>
              <w:t>We have granted to the underwriters an option, which is exercisable within 30 days from the date of this</w:t>
            </w:r>
          </w:p>
        </w:tc>
      </w:tr>
      <w:tr>
        <w:trPr>
          <w:trHeight w:val="222"/>
        </w:trPr>
        <w:tc>
          <w:tcPr>
            <w:tcW w:w="3340" w:type="dxa"/>
            <w:vAlign w:val="bottom"/>
          </w:tcPr>
          <w:p>
            <w:pPr>
              <w:spacing w:after="0"/>
              <w:rPr>
                <w:sz w:val="19"/>
                <w:szCs w:val="19"/>
                <w:color w:val="auto"/>
              </w:rPr>
            </w:pPr>
          </w:p>
        </w:tc>
        <w:tc>
          <w:tcPr>
            <w:tcW w:w="5260" w:type="dxa"/>
            <w:vAlign w:val="bottom"/>
          </w:tcPr>
          <w:p>
            <w:pPr>
              <w:ind w:left="780"/>
              <w:spacing w:after="0"/>
              <w:rPr>
                <w:sz w:val="20"/>
                <w:szCs w:val="20"/>
                <w:color w:val="auto"/>
              </w:rPr>
            </w:pPr>
            <w:r>
              <w:rPr>
                <w:rFonts w:ascii="Arial" w:cs="Arial" w:eastAsia="Arial" w:hAnsi="Arial"/>
                <w:sz w:val="18"/>
                <w:szCs w:val="18"/>
                <w:color w:val="auto"/>
                <w:w w:val="91"/>
              </w:rPr>
              <w:t>prospectus, to purchase up to an additional 1,125,000 ADSs.</w:t>
            </w:r>
          </w:p>
        </w:tc>
        <w:tc>
          <w:tcPr>
            <w:tcW w:w="2820" w:type="dxa"/>
            <w:vAlign w:val="bottom"/>
          </w:tcPr>
          <w:p>
            <w:pPr>
              <w:spacing w:after="0"/>
              <w:rPr>
                <w:sz w:val="19"/>
                <w:szCs w:val="19"/>
                <w:color w:val="auto"/>
              </w:rPr>
            </w:pPr>
          </w:p>
        </w:tc>
      </w:tr>
      <w:tr>
        <w:trPr>
          <w:trHeight w:val="372"/>
        </w:trPr>
        <w:tc>
          <w:tcPr>
            <w:tcW w:w="3340" w:type="dxa"/>
            <w:vAlign w:val="bottom"/>
          </w:tcPr>
          <w:p>
            <w:pPr>
              <w:spacing w:after="0"/>
              <w:rPr>
                <w:sz w:val="20"/>
                <w:szCs w:val="20"/>
                <w:color w:val="auto"/>
              </w:rPr>
            </w:pPr>
            <w:r>
              <w:rPr>
                <w:rFonts w:ascii="Arial" w:cs="Arial" w:eastAsia="Arial" w:hAnsi="Arial"/>
                <w:sz w:val="18"/>
                <w:szCs w:val="18"/>
                <w:color w:val="auto"/>
              </w:rPr>
              <w:t>Timing and settlement for ADSs</w:t>
            </w:r>
          </w:p>
        </w:tc>
        <w:tc>
          <w:tcPr>
            <w:tcW w:w="5260" w:type="dxa"/>
            <w:vAlign w:val="bottom"/>
          </w:tcPr>
          <w:p>
            <w:pPr>
              <w:ind w:left="780"/>
              <w:spacing w:after="0"/>
              <w:rPr>
                <w:sz w:val="20"/>
                <w:szCs w:val="20"/>
                <w:color w:val="auto"/>
              </w:rPr>
            </w:pPr>
            <w:r>
              <w:rPr>
                <w:rFonts w:ascii="Arial" w:cs="Arial" w:eastAsia="Arial" w:hAnsi="Arial"/>
                <w:sz w:val="18"/>
                <w:szCs w:val="18"/>
                <w:color w:val="auto"/>
                <w:w w:val="93"/>
              </w:rPr>
              <w:t>The ADSs are expected to be delivered against payment on</w:t>
            </w:r>
          </w:p>
        </w:tc>
        <w:tc>
          <w:tcPr>
            <w:tcW w:w="2820" w:type="dxa"/>
            <w:vAlign w:val="bottom"/>
          </w:tcPr>
          <w:p>
            <w:pPr>
              <w:ind w:left="240"/>
              <w:spacing w:after="0"/>
              <w:rPr>
                <w:sz w:val="20"/>
                <w:szCs w:val="20"/>
                <w:color w:val="auto"/>
              </w:rPr>
            </w:pPr>
            <w:r>
              <w:rPr>
                <w:rFonts w:ascii="Arial" w:cs="Arial" w:eastAsia="Arial" w:hAnsi="Arial"/>
                <w:sz w:val="18"/>
                <w:szCs w:val="18"/>
                <w:color w:val="auto"/>
                <w:w w:val="96"/>
              </w:rPr>
              <w:t>, 2006. The ADRs evidencing the</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98"/>
              </w:rPr>
              <w:t>ADSs will be deposited with a custodian for, and registered in the name of a nominee of, The</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99"/>
              </w:rPr>
              <w:t>Depository Trust Company, or DTC, in New York, New York. DTC, and its direct and indirect</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90"/>
              </w:rPr>
              <w:t>participants, will maintain records that will show the beneficial interests in the ADSs and facilitate any</w:t>
            </w:r>
          </w:p>
        </w:tc>
      </w:tr>
      <w:tr>
        <w:trPr>
          <w:trHeight w:val="222"/>
        </w:trPr>
        <w:tc>
          <w:tcPr>
            <w:tcW w:w="3340" w:type="dxa"/>
            <w:vAlign w:val="bottom"/>
          </w:tcPr>
          <w:p>
            <w:pPr>
              <w:spacing w:after="0"/>
              <w:rPr>
                <w:sz w:val="19"/>
                <w:szCs w:val="19"/>
                <w:color w:val="auto"/>
              </w:rPr>
            </w:pPr>
          </w:p>
        </w:tc>
        <w:tc>
          <w:tcPr>
            <w:tcW w:w="5260" w:type="dxa"/>
            <w:vAlign w:val="bottom"/>
          </w:tcPr>
          <w:p>
            <w:pPr>
              <w:ind w:left="780"/>
              <w:spacing w:after="0"/>
              <w:rPr>
                <w:sz w:val="20"/>
                <w:szCs w:val="20"/>
                <w:color w:val="auto"/>
              </w:rPr>
            </w:pPr>
            <w:r>
              <w:rPr>
                <w:rFonts w:ascii="Arial" w:cs="Arial" w:eastAsia="Arial" w:hAnsi="Arial"/>
                <w:sz w:val="18"/>
                <w:szCs w:val="18"/>
                <w:color w:val="auto"/>
              </w:rPr>
              <w:t>transfer of the beneficial interests.</w:t>
            </w:r>
          </w:p>
        </w:tc>
        <w:tc>
          <w:tcPr>
            <w:tcW w:w="2820" w:type="dxa"/>
            <w:vAlign w:val="bottom"/>
          </w:tcPr>
          <w:p>
            <w:pPr>
              <w:spacing w:after="0"/>
              <w:rPr>
                <w:sz w:val="19"/>
                <w:szCs w:val="19"/>
                <w:color w:val="auto"/>
              </w:rPr>
            </w:pPr>
          </w:p>
        </w:tc>
      </w:tr>
      <w:tr>
        <w:trPr>
          <w:trHeight w:val="372"/>
        </w:trPr>
        <w:tc>
          <w:tcPr>
            <w:tcW w:w="3340" w:type="dxa"/>
            <w:vAlign w:val="bottom"/>
          </w:tcPr>
          <w:p>
            <w:pPr>
              <w:spacing w:after="0"/>
              <w:rPr>
                <w:sz w:val="20"/>
                <w:szCs w:val="20"/>
                <w:color w:val="auto"/>
              </w:rPr>
            </w:pPr>
            <w:r>
              <w:rPr>
                <w:rFonts w:ascii="Arial" w:cs="Arial" w:eastAsia="Arial" w:hAnsi="Arial"/>
                <w:sz w:val="18"/>
                <w:szCs w:val="18"/>
                <w:color w:val="auto"/>
              </w:rPr>
              <w:t>Use of proceeds</w:t>
            </w: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91"/>
              </w:rPr>
              <w:t>Our net proceeds from this offering are expected to be approximately US$80.7 million, assuming an</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98"/>
              </w:rPr>
              <w:t>initial public offering price per ADS of US$12.00, which is the midpoint of the estimated public</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90"/>
              </w:rPr>
              <w:t>offering price range. We plan to use the net proceeds we receive from this offering for working capital</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89"/>
              </w:rPr>
              <w:t>and general corporate purposes, which may include the expansion of existing facilities, the acquisition</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90"/>
              </w:rPr>
              <w:t>of new facilities, the development and introduction of new programs and strategic acquisitions, and to</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89"/>
              </w:rPr>
              <w:t>repay our outstanding indebtedness under our loan agreements and corporate facility with commercial</w:t>
            </w:r>
          </w:p>
        </w:tc>
      </w:tr>
      <w:tr>
        <w:trPr>
          <w:trHeight w:val="222"/>
        </w:trPr>
        <w:tc>
          <w:tcPr>
            <w:tcW w:w="3340" w:type="dxa"/>
            <w:vAlign w:val="bottom"/>
          </w:tcPr>
          <w:p>
            <w:pPr>
              <w:spacing w:after="0"/>
              <w:rPr>
                <w:sz w:val="19"/>
                <w:szCs w:val="19"/>
                <w:color w:val="auto"/>
              </w:rPr>
            </w:pPr>
          </w:p>
        </w:tc>
        <w:tc>
          <w:tcPr>
            <w:tcW w:w="5260" w:type="dxa"/>
            <w:vAlign w:val="bottom"/>
          </w:tcPr>
          <w:p>
            <w:pPr>
              <w:ind w:left="780"/>
              <w:spacing w:after="0"/>
              <w:rPr>
                <w:sz w:val="20"/>
                <w:szCs w:val="20"/>
                <w:color w:val="auto"/>
              </w:rPr>
            </w:pPr>
            <w:r>
              <w:rPr>
                <w:rFonts w:ascii="Arial" w:cs="Arial" w:eastAsia="Arial" w:hAnsi="Arial"/>
                <w:sz w:val="18"/>
                <w:szCs w:val="18"/>
                <w:color w:val="auto"/>
                <w:w w:val="99"/>
              </w:rPr>
              <w:t>banks. See “Use of Proceeds” for additional information.</w:t>
            </w:r>
          </w:p>
        </w:tc>
        <w:tc>
          <w:tcPr>
            <w:tcW w:w="2820" w:type="dxa"/>
            <w:vAlign w:val="bottom"/>
          </w:tcPr>
          <w:p>
            <w:pPr>
              <w:spacing w:after="0"/>
              <w:rPr>
                <w:sz w:val="19"/>
                <w:szCs w:val="19"/>
                <w:color w:val="auto"/>
              </w:rPr>
            </w:pPr>
          </w:p>
        </w:tc>
      </w:tr>
      <w:tr>
        <w:trPr>
          <w:trHeight w:val="372"/>
        </w:trPr>
        <w:tc>
          <w:tcPr>
            <w:tcW w:w="3340" w:type="dxa"/>
            <w:vAlign w:val="bottom"/>
          </w:tcPr>
          <w:p>
            <w:pPr>
              <w:spacing w:after="0"/>
              <w:rPr>
                <w:sz w:val="20"/>
                <w:szCs w:val="20"/>
                <w:color w:val="auto"/>
              </w:rPr>
            </w:pPr>
            <w:r>
              <w:rPr>
                <w:rFonts w:ascii="Arial" w:cs="Arial" w:eastAsia="Arial" w:hAnsi="Arial"/>
                <w:sz w:val="18"/>
                <w:szCs w:val="18"/>
                <w:color w:val="auto"/>
              </w:rPr>
              <w:t>Lock-up</w:t>
            </w: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90"/>
              </w:rPr>
              <w:t>We have agreed with the underwriters to a lock-up of shares for a period of 180 days after the date of</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91"/>
              </w:rPr>
              <w:t>this prospectus. In addition, our executive officers, directors and certain of our existing shareholders</w:t>
            </w:r>
          </w:p>
        </w:tc>
      </w:tr>
      <w:tr>
        <w:trPr>
          <w:trHeight w:val="216"/>
        </w:trPr>
        <w:tc>
          <w:tcPr>
            <w:tcW w:w="3340" w:type="dxa"/>
            <w:vAlign w:val="bottom"/>
          </w:tcPr>
          <w:p>
            <w:pPr>
              <w:spacing w:after="0"/>
              <w:rPr>
                <w:sz w:val="18"/>
                <w:szCs w:val="18"/>
                <w:color w:val="auto"/>
              </w:rPr>
            </w:pP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89"/>
              </w:rPr>
              <w:t>have also agreed with the underwriters to a lock-up of shares for a period of 180 days after the date of</w:t>
            </w:r>
          </w:p>
        </w:tc>
      </w:tr>
      <w:tr>
        <w:trPr>
          <w:trHeight w:val="222"/>
        </w:trPr>
        <w:tc>
          <w:tcPr>
            <w:tcW w:w="3340" w:type="dxa"/>
            <w:vAlign w:val="bottom"/>
          </w:tcPr>
          <w:p>
            <w:pPr>
              <w:spacing w:after="0"/>
              <w:rPr>
                <w:sz w:val="19"/>
                <w:szCs w:val="19"/>
                <w:color w:val="auto"/>
              </w:rPr>
            </w:pPr>
          </w:p>
        </w:tc>
        <w:tc>
          <w:tcPr>
            <w:tcW w:w="5260" w:type="dxa"/>
            <w:vAlign w:val="bottom"/>
          </w:tcPr>
          <w:p>
            <w:pPr>
              <w:ind w:left="780"/>
              <w:spacing w:after="0"/>
              <w:rPr>
                <w:sz w:val="20"/>
                <w:szCs w:val="20"/>
                <w:color w:val="auto"/>
              </w:rPr>
            </w:pPr>
            <w:r>
              <w:rPr>
                <w:rFonts w:ascii="Arial" w:cs="Arial" w:eastAsia="Arial" w:hAnsi="Arial"/>
                <w:sz w:val="18"/>
                <w:szCs w:val="18"/>
                <w:color w:val="auto"/>
              </w:rPr>
              <w:t>this prospectus. See “Underwriting.”</w:t>
            </w:r>
          </w:p>
        </w:tc>
        <w:tc>
          <w:tcPr>
            <w:tcW w:w="2820" w:type="dxa"/>
            <w:vAlign w:val="bottom"/>
          </w:tcPr>
          <w:p>
            <w:pPr>
              <w:spacing w:after="0"/>
              <w:rPr>
                <w:sz w:val="19"/>
                <w:szCs w:val="19"/>
                <w:color w:val="auto"/>
              </w:rPr>
            </w:pPr>
          </w:p>
        </w:tc>
      </w:tr>
      <w:tr>
        <w:trPr>
          <w:trHeight w:val="372"/>
        </w:trPr>
        <w:tc>
          <w:tcPr>
            <w:tcW w:w="3340" w:type="dxa"/>
            <w:vAlign w:val="bottom"/>
          </w:tcPr>
          <w:p>
            <w:pPr>
              <w:spacing w:after="0"/>
              <w:rPr>
                <w:sz w:val="20"/>
                <w:szCs w:val="20"/>
                <w:color w:val="auto"/>
              </w:rPr>
            </w:pPr>
            <w:r>
              <w:rPr>
                <w:rFonts w:ascii="Arial" w:cs="Arial" w:eastAsia="Arial" w:hAnsi="Arial"/>
                <w:sz w:val="18"/>
                <w:szCs w:val="18"/>
                <w:color w:val="auto"/>
              </w:rPr>
              <w:t>Risk factors</w:t>
            </w:r>
          </w:p>
        </w:tc>
        <w:tc>
          <w:tcPr>
            <w:tcW w:w="8080" w:type="dxa"/>
            <w:vAlign w:val="bottom"/>
            <w:gridSpan w:val="2"/>
          </w:tcPr>
          <w:p>
            <w:pPr>
              <w:ind w:left="780"/>
              <w:spacing w:after="0"/>
              <w:rPr>
                <w:sz w:val="20"/>
                <w:szCs w:val="20"/>
                <w:color w:val="auto"/>
              </w:rPr>
            </w:pPr>
            <w:r>
              <w:rPr>
                <w:rFonts w:ascii="Arial" w:cs="Arial" w:eastAsia="Arial" w:hAnsi="Arial"/>
                <w:sz w:val="18"/>
                <w:szCs w:val="18"/>
                <w:color w:val="auto"/>
                <w:w w:val="94"/>
              </w:rPr>
              <w:t>See “Risk Factors” and other information included in this prospectus for a discussion of risks you</w:t>
            </w:r>
          </w:p>
        </w:tc>
      </w:tr>
      <w:tr>
        <w:trPr>
          <w:trHeight w:val="222"/>
        </w:trPr>
        <w:tc>
          <w:tcPr>
            <w:tcW w:w="3340" w:type="dxa"/>
            <w:vAlign w:val="bottom"/>
          </w:tcPr>
          <w:p>
            <w:pPr>
              <w:spacing w:after="0"/>
              <w:rPr>
                <w:sz w:val="19"/>
                <w:szCs w:val="19"/>
                <w:color w:val="auto"/>
              </w:rPr>
            </w:pPr>
          </w:p>
        </w:tc>
        <w:tc>
          <w:tcPr>
            <w:tcW w:w="5260" w:type="dxa"/>
            <w:vAlign w:val="bottom"/>
          </w:tcPr>
          <w:p>
            <w:pPr>
              <w:ind w:left="780"/>
              <w:spacing w:after="0"/>
              <w:rPr>
                <w:sz w:val="20"/>
                <w:szCs w:val="20"/>
                <w:color w:val="auto"/>
              </w:rPr>
            </w:pPr>
            <w:r>
              <w:rPr>
                <w:rFonts w:ascii="Arial" w:cs="Arial" w:eastAsia="Arial" w:hAnsi="Arial"/>
                <w:sz w:val="18"/>
                <w:szCs w:val="18"/>
                <w:color w:val="auto"/>
              </w:rPr>
              <w:t>should carefully consider before investing in our ADSs.</w:t>
            </w:r>
          </w:p>
        </w:tc>
        <w:tc>
          <w:tcPr>
            <w:tcW w:w="282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that will be outstanding immediately after this offering:</w:t>
      </w:r>
    </w:p>
    <w:p>
      <w:pPr>
        <w:spacing w:after="0" w:line="158"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assumes the conversion of all outstanding preferred shares into 11,111,111 common shares immediately prior to the completion of this offering;</w:t>
      </w:r>
    </w:p>
    <w:p>
      <w:pPr>
        <w:spacing w:after="0" w:line="207"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8,719,500 common shares issuable upon the exercise of options outstanding as of the date of this prospectus, at a weighted average exercise price of US$2.09 per share; and</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common shares reserved for future issuances under our 2006 share incentive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CONDENSED CONSOLIDATED FINANCIAL DATA</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following summary condensed consolidated financial information has been derived from our consolidated financial statements. Our consolidated statements of operations for the years ended May 31, 2004, 2005 and 2006 and our consolidated balance sheet as of May 31, 2006 have been audited by Deloitte Touche Tohmatsu CPA Ltd., an independent registered public accounting firm. The report of Deloitte Touche Tohmatsu CPA Ltd. on those financial statements is included elsewhere in this prospectus. You should read the summary condensed consolidated financial information for those periods and as of those dates in conjunction with those statements and the accompanying notes and “Management’s Discussion and Analysis of Financial Condition and Results of Operations.” Our consolidated financial statements are prepared and presented in accordance with generally accepted accounting principles in the United States, or U.S. GAAP.</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Years Ended May 31,</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15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62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for share, per share and per ADS data)</w:t>
            </w:r>
          </w:p>
        </w:tc>
        <w:tc>
          <w:tcPr>
            <w:tcW w:w="12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14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95"/>
        </w:trPr>
        <w:tc>
          <w:tcPr>
            <w:tcW w:w="1520" w:type="dxa"/>
            <w:vAlign w:val="bottom"/>
            <w:tcBorders>
              <w:bottom w:val="single" w:sz="8" w:color="auto"/>
            </w:tcBorders>
          </w:tcPr>
          <w:p>
            <w:pPr>
              <w:spacing w:after="0"/>
              <w:rPr>
                <w:sz w:val="8"/>
                <w:szCs w:val="8"/>
                <w:color w:val="auto"/>
              </w:rPr>
            </w:pPr>
          </w:p>
        </w:tc>
        <w:tc>
          <w:tcPr>
            <w:tcW w:w="4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15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RMB</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612"/>
              <w:spacing w:after="0"/>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21"/>
                <w:szCs w:val="21"/>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US$</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Operations Data:</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500" w:type="dxa"/>
            <w:vAlign w:val="bottom"/>
            <w:gridSpan w:val="5"/>
          </w:tcPr>
          <w:p>
            <w:pPr>
              <w:jc w:val="right"/>
              <w:ind w:right="300"/>
              <w:spacing w:after="0"/>
              <w:rPr>
                <w:sz w:val="20"/>
                <w:szCs w:val="20"/>
                <w:color w:val="auto"/>
              </w:rPr>
            </w:pPr>
            <w:r>
              <w:rPr>
                <w:rFonts w:ascii="Arial" w:cs="Arial" w:eastAsia="Arial" w:hAnsi="Arial"/>
                <w:sz w:val="18"/>
                <w:szCs w:val="18"/>
                <w:color w:val="auto"/>
              </w:rPr>
              <w:t>441,809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643,270</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rPr>
              <w:t>770,259</w:t>
            </w:r>
          </w:p>
        </w:tc>
        <w:tc>
          <w:tcPr>
            <w:tcW w:w="240" w:type="dxa"/>
            <w:vAlign w:val="bottom"/>
          </w:tcPr>
          <w:p>
            <w:pPr>
              <w:jc w:val="right"/>
              <w:ind w:right="7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96,057</w:t>
            </w: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Operating costs and expenses</w:t>
            </w:r>
            <w:r>
              <w:rPr>
                <w:rFonts w:ascii="Arial" w:cs="Arial" w:eastAsia="Arial" w:hAnsi="Arial"/>
                <w:sz w:val="22"/>
                <w:szCs w:val="22"/>
                <w:color w:val="auto"/>
                <w:vertAlign w:val="superscript"/>
              </w:rPr>
              <w:t>(1)</w:t>
            </w:r>
          </w:p>
        </w:tc>
        <w:tc>
          <w:tcPr>
            <w:tcW w:w="150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(396,090)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8"/>
              </w:rPr>
              <w:t>(532,173)</w:t>
            </w:r>
          </w:p>
        </w:tc>
        <w:tc>
          <w:tcPr>
            <w:tcW w:w="142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(706,100)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(88,056)</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500" w:type="dxa"/>
            <w:vAlign w:val="bottom"/>
            <w:gridSpan w:val="5"/>
          </w:tcPr>
          <w:p>
            <w:pPr>
              <w:jc w:val="right"/>
              <w:ind w:right="300"/>
              <w:spacing w:after="0"/>
              <w:rPr>
                <w:sz w:val="20"/>
                <w:szCs w:val="20"/>
                <w:color w:val="auto"/>
              </w:rPr>
            </w:pPr>
            <w:r>
              <w:rPr>
                <w:rFonts w:ascii="Arial" w:cs="Arial" w:eastAsia="Arial" w:hAnsi="Arial"/>
                <w:sz w:val="18"/>
                <w:szCs w:val="18"/>
                <w:color w:val="auto"/>
              </w:rPr>
              <w:t>45,719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111,097</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rPr>
              <w:t>64,159</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8,001</w:t>
            </w: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52,389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141,974</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49,385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Dividend in kind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72"/>
              <w:spacing w:after="0"/>
              <w:rPr>
                <w:sz w:val="20"/>
                <w:szCs w:val="20"/>
                <w:color w:val="auto"/>
              </w:rPr>
            </w:pPr>
            <w:r>
              <w:rPr>
                <w:rFonts w:ascii="Arial" w:cs="Arial" w:eastAsia="Arial" w:hAnsi="Arial"/>
                <w:sz w:val="18"/>
                <w:szCs w:val="18"/>
                <w:color w:val="auto"/>
              </w:rPr>
              <w:t>(25,526)</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(3,183)</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holders of common shares</w:t>
            </w:r>
          </w:p>
        </w:tc>
        <w:tc>
          <w:tcPr>
            <w:tcW w:w="1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52,389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141,974</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23,859</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1.42</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Diluted</w:t>
            </w:r>
          </w:p>
        </w:tc>
        <w:tc>
          <w:tcPr>
            <w:tcW w:w="1500" w:type="dxa"/>
            <w:vAlign w:val="bottom"/>
            <w:gridSpan w:val="5"/>
          </w:tcPr>
          <w:p>
            <w:pPr>
              <w:jc w:val="right"/>
              <w:ind w:right="30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1.35</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Net income per ADS</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1500" w:type="dxa"/>
            <w:vAlign w:val="bottom"/>
            <w:gridSpan w:val="5"/>
          </w:tcPr>
          <w:p>
            <w:pPr>
              <w:jc w:val="right"/>
              <w:ind w:right="30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5.68</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rPr>
              <w:t>0.96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5.40</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0.84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Shares used in calculating basic and diluted net income per common share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100,000,000</w:t>
            </w:r>
          </w:p>
        </w:tc>
        <w:tc>
          <w:tcPr>
            <w:tcW w:w="1260" w:type="dxa"/>
            <w:vAlign w:val="bottom"/>
            <w:gridSpan w:val="5"/>
            <w:shd w:val="clear" w:color="auto" w:fill="CCEEFF"/>
          </w:tcPr>
          <w:p>
            <w:pPr>
              <w:jc w:val="right"/>
              <w:ind w:right="172"/>
              <w:spacing w:after="0"/>
              <w:rPr>
                <w:sz w:val="20"/>
                <w:szCs w:val="20"/>
                <w:color w:val="auto"/>
              </w:rPr>
            </w:pPr>
            <w:r>
              <w:rPr>
                <w:rFonts w:ascii="Arial" w:cs="Arial" w:eastAsia="Arial" w:hAnsi="Arial"/>
                <w:sz w:val="18"/>
                <w:szCs w:val="18"/>
                <w:color w:val="auto"/>
                <w:w w:val="97"/>
              </w:rPr>
              <w:t>100,000,000</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w w:val="99"/>
              </w:rPr>
              <w:t>100,000,000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100,000,000</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Diluted</w:t>
            </w:r>
          </w:p>
        </w:tc>
        <w:tc>
          <w:tcPr>
            <w:tcW w:w="1500" w:type="dxa"/>
            <w:vAlign w:val="bottom"/>
            <w:gridSpan w:val="5"/>
          </w:tcPr>
          <w:p>
            <w:pPr>
              <w:jc w:val="right"/>
              <w:ind w:right="300"/>
              <w:spacing w:after="0"/>
              <w:rPr>
                <w:sz w:val="20"/>
                <w:szCs w:val="20"/>
                <w:color w:val="auto"/>
              </w:rPr>
            </w:pPr>
            <w:r>
              <w:rPr>
                <w:rFonts w:ascii="Arial" w:cs="Arial" w:eastAsia="Arial" w:hAnsi="Arial"/>
                <w:sz w:val="18"/>
                <w:szCs w:val="18"/>
                <w:color w:val="auto"/>
              </w:rPr>
              <w:t>100,000,000</w:t>
            </w:r>
          </w:p>
        </w:tc>
        <w:tc>
          <w:tcPr>
            <w:tcW w:w="1260" w:type="dxa"/>
            <w:vAlign w:val="bottom"/>
            <w:gridSpan w:val="5"/>
          </w:tcPr>
          <w:p>
            <w:pPr>
              <w:jc w:val="right"/>
              <w:ind w:right="172"/>
              <w:spacing w:after="0"/>
              <w:rPr>
                <w:sz w:val="20"/>
                <w:szCs w:val="20"/>
                <w:color w:val="auto"/>
              </w:rPr>
            </w:pPr>
            <w:r>
              <w:rPr>
                <w:rFonts w:ascii="Arial" w:cs="Arial" w:eastAsia="Arial" w:hAnsi="Arial"/>
                <w:sz w:val="18"/>
                <w:szCs w:val="18"/>
                <w:color w:val="auto"/>
                <w:w w:val="97"/>
              </w:rPr>
              <w:t>104,840,183</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w w:val="99"/>
              </w:rPr>
              <w:t>111,111,111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111,111,111</w:t>
            </w:r>
          </w:p>
        </w:tc>
      </w:tr>
      <w:tr>
        <w:trPr>
          <w:trHeight w:val="216"/>
        </w:trPr>
        <w:tc>
          <w:tcPr>
            <w:tcW w:w="62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Dividends declared per share</w:t>
            </w:r>
            <w:r>
              <w:rPr>
                <w:rFonts w:ascii="Arial" w:cs="Arial" w:eastAsia="Arial" w:hAnsi="Arial"/>
                <w:sz w:val="22"/>
                <w:szCs w:val="22"/>
                <w:color w:val="auto"/>
                <w:vertAlign w:val="superscript"/>
              </w:rPr>
              <w:t>(3)</w:t>
            </w:r>
          </w:p>
        </w:tc>
        <w:tc>
          <w:tcPr>
            <w:tcW w:w="1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0.65</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Pro forma net income per share on an as converted basis, basic (unaudited)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 per share on an as converted basis, diluted (unaudited)</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r>
      <w:tr>
        <w:trPr>
          <w:trHeight w:val="208"/>
        </w:trPr>
        <w:tc>
          <w:tcPr>
            <w:tcW w:w="6200" w:type="dxa"/>
            <w:vAlign w:val="bottom"/>
            <w:gridSpan w:val="2"/>
          </w:tcPr>
          <w:p>
            <w:pPr>
              <w:spacing w:after="0"/>
              <w:rPr>
                <w:sz w:val="20"/>
                <w:szCs w:val="20"/>
                <w:color w:val="auto"/>
              </w:rPr>
            </w:pPr>
            <w:r>
              <w:rPr>
                <w:rFonts w:ascii="Arial" w:cs="Arial" w:eastAsia="Arial" w:hAnsi="Arial"/>
                <w:sz w:val="18"/>
                <w:szCs w:val="18"/>
                <w:color w:val="auto"/>
                <w:w w:val="87"/>
              </w:rPr>
              <w:t>Shares used in calculating pro forma per share amounts on an as converted basis, basic</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200" w:type="dxa"/>
            <w:vAlign w:val="bottom"/>
            <w:gridSpan w:val="2"/>
          </w:tcPr>
          <w:p>
            <w:pPr>
              <w:ind w:left="220"/>
              <w:spacing w:after="0"/>
              <w:rPr>
                <w:sz w:val="20"/>
                <w:szCs w:val="20"/>
                <w:color w:val="auto"/>
              </w:rPr>
            </w:pPr>
            <w:r>
              <w:rPr>
                <w:rFonts w:ascii="Arial" w:cs="Arial" w:eastAsia="Arial" w:hAnsi="Arial"/>
                <w:sz w:val="18"/>
                <w:szCs w:val="18"/>
                <w:color w:val="auto"/>
              </w:rPr>
              <w:t>(unaudited)</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w w:val="99"/>
              </w:rPr>
              <w:t>111,111,111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111,111,111</w:t>
            </w: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Shares used in calculating pro forma per share amounts on an as converted basis,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(unaudited)</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w w:val="99"/>
              </w:rPr>
              <w:t>111,111,111</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111,111,111</w:t>
            </w:r>
          </w:p>
        </w:tc>
      </w:tr>
      <w:tr>
        <w:trPr>
          <w:trHeight w:val="108"/>
        </w:trPr>
        <w:tc>
          <w:tcPr>
            <w:tcW w:w="1520" w:type="dxa"/>
            <w:vAlign w:val="bottom"/>
            <w:tcBorders>
              <w:bottom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6200" w:type="dxa"/>
            <w:vAlign w:val="bottom"/>
            <w:gridSpan w:val="2"/>
          </w:tcPr>
          <w:p>
            <w:pPr>
              <w:spacing w:after="0"/>
              <w:rPr>
                <w:sz w:val="20"/>
                <w:szCs w:val="20"/>
                <w:color w:val="auto"/>
              </w:rPr>
            </w:pPr>
            <w:r>
              <w:rPr>
                <w:rFonts w:ascii="Arial" w:cs="Arial" w:eastAsia="Arial" w:hAnsi="Arial"/>
                <w:sz w:val="18"/>
                <w:szCs w:val="18"/>
                <w:color w:val="auto"/>
              </w:rPr>
              <w:t>(1)  Include share-based compensation expenses as follows: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2"/>
        </w:trPr>
        <w:tc>
          <w:tcPr>
            <w:tcW w:w="15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5"/>
          </w:tcPr>
          <w:p>
            <w:pPr>
              <w:jc w:val="right"/>
              <w:ind w:right="272"/>
              <w:spacing w:after="0"/>
              <w:rPr>
                <w:sz w:val="20"/>
                <w:szCs w:val="20"/>
                <w:color w:val="auto"/>
              </w:rPr>
            </w:pPr>
            <w:r>
              <w:rPr>
                <w:rFonts w:ascii="Arial" w:cs="Arial" w:eastAsia="Arial" w:hAnsi="Arial"/>
                <w:sz w:val="14"/>
                <w:szCs w:val="14"/>
                <w:b w:val="1"/>
                <w:bCs w:val="1"/>
                <w:color w:val="auto"/>
              </w:rPr>
              <w:t>For the Years Ended May 31,</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6200" w:type="dxa"/>
            <w:vAlign w:val="bottom"/>
            <w:gridSpan w:val="2"/>
          </w:tcPr>
          <w:p>
            <w:pPr>
              <w:spacing w:after="0"/>
              <w:rPr>
                <w:sz w:val="8"/>
                <w:szCs w:val="8"/>
                <w:color w:val="auto"/>
              </w:rPr>
            </w:pPr>
          </w:p>
        </w:tc>
        <w:tc>
          <w:tcPr>
            <w:tcW w:w="6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r>
        <w:trPr>
          <w:trHeight w:val="263"/>
        </w:trPr>
        <w:tc>
          <w:tcPr>
            <w:tcW w:w="62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95"/>
        </w:trPr>
        <w:tc>
          <w:tcPr>
            <w:tcW w:w="1520" w:type="dxa"/>
            <w:vAlign w:val="bottom"/>
            <w:tcBorders>
              <w:bottom w:val="single" w:sz="8" w:color="auto"/>
            </w:tcBorders>
          </w:tcPr>
          <w:p>
            <w:pPr>
              <w:spacing w:after="0"/>
              <w:rPr>
                <w:sz w:val="8"/>
                <w:szCs w:val="8"/>
                <w:color w:val="auto"/>
              </w:rPr>
            </w:pPr>
          </w:p>
        </w:tc>
        <w:tc>
          <w:tcPr>
            <w:tcW w:w="4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r>
      <w:tr>
        <w:trPr>
          <w:trHeight w:val="250"/>
        </w:trPr>
        <w:tc>
          <w:tcPr>
            <w:tcW w:w="15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ind w:left="34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572"/>
              <w:spacing w:after="0"/>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21"/>
                <w:szCs w:val="21"/>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780" w:type="dxa"/>
            <w:vAlign w:val="bottom"/>
            <w:gridSpan w:val="8"/>
            <w:shd w:val="clear" w:color="auto" w:fill="CCEEFF"/>
          </w:tcPr>
          <w:p>
            <w:pPr>
              <w:jc w:val="right"/>
              <w:ind w:right="100"/>
              <w:spacing w:after="0"/>
              <w:rPr>
                <w:sz w:val="20"/>
                <w:szCs w:val="20"/>
                <w:color w:val="auto"/>
              </w:rPr>
            </w:pPr>
            <w:r>
              <w:rPr>
                <w:rFonts w:ascii="Arial" w:cs="Arial" w:eastAsia="Arial" w:hAnsi="Arial"/>
                <w:sz w:val="18"/>
                <w:szCs w:val="18"/>
                <w:color w:val="auto"/>
              </w:rPr>
              <w:t>16,817</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64,457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8,041</w:t>
            </w:r>
          </w:p>
        </w:tc>
      </w:tr>
    </w:tbl>
    <w:p>
      <w:pPr>
        <w:spacing w:after="0" w:line="5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ADS represents four common shares.</w:t>
      </w:r>
    </w:p>
    <w:p>
      <w:pPr>
        <w:spacing w:after="0" w:line="15"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declared an annual dividend of RMB0.27 and RMB0.65 per share, respectively, to holders of our common shares in our fiscal years ended May 31, 2004 and 2005. We declared an annual dividend of RMB0.59 per share to holders of our common shares and preferred shares in our fiscal year ended May 31, 2006.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condensed consolidated balance sheet data as of May 31, 2006: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3"/>
          </w:tcPr>
          <w:p>
            <w:pPr>
              <w:jc w:val="right"/>
              <w:ind w:right="407"/>
              <w:spacing w:after="0"/>
              <w:rPr>
                <w:sz w:val="20"/>
                <w:szCs w:val="20"/>
                <w:color w:val="auto"/>
              </w:rPr>
            </w:pPr>
            <w:r>
              <w:rPr>
                <w:rFonts w:ascii="Arial" w:cs="Arial" w:eastAsia="Arial" w:hAnsi="Arial"/>
                <w:sz w:val="14"/>
                <w:szCs w:val="14"/>
                <w:b w:val="1"/>
                <w:bCs w:val="1"/>
                <w:color w:val="auto"/>
              </w:rPr>
              <w:t>As of May 31, 2006</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5"/>
        </w:trPr>
        <w:tc>
          <w:tcPr>
            <w:tcW w:w="7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3"/>
          </w:tcPr>
          <w:p>
            <w:pPr>
              <w:spacing w:after="0"/>
              <w:rPr>
                <w:sz w:val="8"/>
                <w:szCs w:val="8"/>
                <w:color w:val="auto"/>
              </w:rPr>
            </w:pPr>
          </w:p>
        </w:tc>
      </w:tr>
      <w:tr>
        <w:trPr>
          <w:trHeight w:val="232"/>
        </w:trPr>
        <w:tc>
          <w:tcPr>
            <w:tcW w:w="7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ind w:left="440"/>
              <w:spacing w:after="0"/>
              <w:rPr>
                <w:sz w:val="20"/>
                <w:szCs w:val="20"/>
                <w:color w:val="auto"/>
              </w:rPr>
            </w:pPr>
            <w:r>
              <w:rPr>
                <w:rFonts w:ascii="Arial" w:cs="Arial" w:eastAsia="Arial" w:hAnsi="Arial"/>
                <w:sz w:val="14"/>
                <w:szCs w:val="14"/>
                <w:b w:val="1"/>
                <w:bCs w:val="1"/>
                <w:color w:val="auto"/>
              </w:rPr>
              <w:t>Unaudited Pro</w:t>
            </w:r>
          </w:p>
        </w:tc>
      </w:tr>
      <w:tr>
        <w:trPr>
          <w:trHeight w:val="298"/>
        </w:trPr>
        <w:tc>
          <w:tcPr>
            <w:tcW w:w="7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Actual</w:t>
            </w:r>
          </w:p>
        </w:tc>
        <w:tc>
          <w:tcPr>
            <w:tcW w:w="5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Forma</w:t>
            </w:r>
            <w:r>
              <w:rPr>
                <w:rFonts w:ascii="Arial" w:cs="Arial" w:eastAsia="Arial" w:hAnsi="Arial"/>
                <w:sz w:val="22"/>
                <w:szCs w:val="22"/>
                <w:b w:val="1"/>
                <w:bCs w:val="1"/>
                <w:color w:val="auto"/>
                <w:vertAlign w:val="superscript"/>
              </w:rPr>
              <w:t>(1)</w:t>
            </w:r>
          </w:p>
        </w:tc>
        <w:tc>
          <w:tcPr>
            <w:tcW w:w="580" w:type="dxa"/>
            <w:vAlign w:val="bottom"/>
            <w:tcBorders>
              <w:bottom w:val="single" w:sz="8" w:color="auto"/>
            </w:tcBorders>
          </w:tcPr>
          <w:p>
            <w:pPr>
              <w:spacing w:after="0"/>
              <w:rPr>
                <w:sz w:val="24"/>
                <w:szCs w:val="24"/>
                <w:color w:val="auto"/>
              </w:rPr>
            </w:pPr>
          </w:p>
        </w:tc>
      </w:tr>
      <w:tr>
        <w:trPr>
          <w:trHeight w:val="253"/>
        </w:trPr>
        <w:tc>
          <w:tcPr>
            <w:tcW w:w="7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22"/>
                <w:szCs w:val="22"/>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22"/>
                <w:szCs w:val="22"/>
                <w:color w:val="auto"/>
              </w:rPr>
            </w:pPr>
          </w:p>
        </w:tc>
        <w:tc>
          <w:tcPr>
            <w:tcW w:w="860" w:type="dxa"/>
            <w:vAlign w:val="bottom"/>
          </w:tcPr>
          <w:p>
            <w:pPr>
              <w:jc w:val="right"/>
              <w:ind w:right="287"/>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US$</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 Data:</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261,854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32,655</w:t>
            </w:r>
          </w:p>
        </w:tc>
        <w:tc>
          <w:tcPr>
            <w:tcW w:w="1200" w:type="dxa"/>
            <w:vAlign w:val="bottom"/>
            <w:gridSpan w:val="2"/>
          </w:tcPr>
          <w:p>
            <w:pPr>
              <w:jc w:val="right"/>
              <w:ind w:right="87"/>
              <w:spacing w:after="0"/>
              <w:rPr>
                <w:sz w:val="20"/>
                <w:szCs w:val="20"/>
                <w:color w:val="auto"/>
              </w:rPr>
            </w:pPr>
            <w:r>
              <w:rPr>
                <w:rFonts w:ascii="Arial" w:cs="Arial" w:eastAsia="Arial" w:hAnsi="Arial"/>
                <w:sz w:val="18"/>
                <w:szCs w:val="18"/>
                <w:color w:val="auto"/>
              </w:rPr>
              <w:t>261,854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32,655</w:t>
            </w: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2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1,089,562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135,876</w:t>
            </w:r>
          </w:p>
        </w:tc>
        <w:tc>
          <w:tcPr>
            <w:tcW w:w="12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1,089,562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135,876</w:t>
            </w: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465,218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58,016</w:t>
            </w:r>
          </w:p>
        </w:tc>
        <w:tc>
          <w:tcPr>
            <w:tcW w:w="1200" w:type="dxa"/>
            <w:vAlign w:val="bottom"/>
            <w:gridSpan w:val="2"/>
          </w:tcPr>
          <w:p>
            <w:pPr>
              <w:jc w:val="right"/>
              <w:ind w:right="87"/>
              <w:spacing w:after="0"/>
              <w:rPr>
                <w:sz w:val="20"/>
                <w:szCs w:val="20"/>
                <w:color w:val="auto"/>
              </w:rPr>
            </w:pPr>
            <w:r>
              <w:rPr>
                <w:rFonts w:ascii="Arial" w:cs="Arial" w:eastAsia="Arial" w:hAnsi="Arial"/>
                <w:sz w:val="18"/>
                <w:szCs w:val="18"/>
                <w:color w:val="auto"/>
              </w:rPr>
              <w:t>465,218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58,016</w:t>
            </w: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2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568,056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70,841</w:t>
            </w:r>
          </w:p>
        </w:tc>
        <w:tc>
          <w:tcPr>
            <w:tcW w:w="12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568,056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70,841</w:t>
            </w: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Long-term debt, less current portion</w:t>
            </w: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102,638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12,800</w:t>
            </w:r>
          </w:p>
        </w:tc>
        <w:tc>
          <w:tcPr>
            <w:tcW w:w="1200" w:type="dxa"/>
            <w:vAlign w:val="bottom"/>
            <w:gridSpan w:val="2"/>
          </w:tcPr>
          <w:p>
            <w:pPr>
              <w:jc w:val="right"/>
              <w:ind w:right="87"/>
              <w:spacing w:after="0"/>
              <w:rPr>
                <w:sz w:val="20"/>
                <w:szCs w:val="20"/>
                <w:color w:val="auto"/>
              </w:rPr>
            </w:pPr>
            <w:r>
              <w:rPr>
                <w:rFonts w:ascii="Arial" w:cs="Arial" w:eastAsia="Arial" w:hAnsi="Arial"/>
                <w:sz w:val="18"/>
                <w:szCs w:val="18"/>
                <w:color w:val="auto"/>
              </w:rPr>
              <w:t>102,638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12,800</w:t>
            </w: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Series A convertible preferred shares</w:t>
            </w:r>
          </w:p>
        </w:tc>
        <w:tc>
          <w:tcPr>
            <w:tcW w:w="12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920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30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521,506</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65,035</w:t>
            </w:r>
          </w:p>
        </w:tc>
        <w:tc>
          <w:tcPr>
            <w:tcW w:w="1200" w:type="dxa"/>
            <w:vAlign w:val="bottom"/>
            <w:gridSpan w:val="2"/>
          </w:tcPr>
          <w:p>
            <w:pPr>
              <w:jc w:val="right"/>
              <w:ind w:right="87"/>
              <w:spacing w:after="0"/>
              <w:rPr>
                <w:sz w:val="20"/>
                <w:szCs w:val="20"/>
                <w:color w:val="auto"/>
              </w:rPr>
            </w:pPr>
            <w:r>
              <w:rPr>
                <w:rFonts w:ascii="Arial" w:cs="Arial" w:eastAsia="Arial" w:hAnsi="Arial"/>
                <w:sz w:val="18"/>
                <w:szCs w:val="18"/>
                <w:color w:val="auto"/>
              </w:rPr>
              <w:t>521,506</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607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95" w:lineRule="exact"/>
        <w:rPr>
          <w:sz w:val="20"/>
          <w:szCs w:val="20"/>
          <w:color w:val="auto"/>
        </w:rPr>
      </w:pPr>
    </w:p>
    <w:p>
      <w:pPr>
        <w:ind w:left="340" w:right="820" w:hanging="332"/>
        <w:spacing w:after="0" w:line="33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unaudited pro forma condensed consolidated balance sheet data as of May 31, 2006 assumes the conversion of all of the outstanding Series A convertible preferred shares into 11,111,111 common shares immediately upon the completion of this offering.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You should consider carefully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b w:val="1"/>
          <w:bCs w:val="1"/>
          <w:i w:val="1"/>
          <w:iCs w:val="1"/>
          <w:color w:val="auto"/>
        </w:rPr>
        <w:t>If we are not able to continue to attract students to enroll in our courses without a significant decrease in course fees, our revenues may decline and we may not be able to maintain profitability.</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success of our business depends primarily on the number of student enrollments in our courses and the amount of course fees that our students are willing to pay. Therefore, our ability to continue to attract students to enroll in our courses without a significant decrease in course fees is critical to the continued success and growth of our business. This in turn will depend on several factors, including our ability to develop new programs and enhance existing programs to respond to changes in market trends and student demands, expand our geographic reach, manage our growth while maintaining the consistency of our teaching quality, effectively market our programs to a broader base of prospective students, develop and license additional high-quality educational content and respond to competitive pressures. If we are unable to continue to attract students to enroll in our courses without a significant decrease in course fees, our revenue may decline and we may not be able to maintain profitability.</w:t>
      </w:r>
    </w:p>
    <w:p>
      <w:pPr>
        <w:spacing w:after="0" w:line="105"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b w:val="1"/>
          <w:bCs w:val="1"/>
          <w:i w:val="1"/>
          <w:iCs w:val="1"/>
          <w:color w:val="auto"/>
        </w:rPr>
        <w:t>We depend on our dedicated and capable faculty, and if we are not able to continue to hire, train and retain qualified teachers, we may not be able to maintain consistent teaching quality throughout our school network and our brand, business and operating results may be materially and adversely affected.</w:t>
      </w:r>
    </w:p>
    <w:p>
      <w:pPr>
        <w:spacing w:after="0" w:line="4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teachers are critical to maintaining the quality of our programs, services and products and maintaining our brand and reputation, as they interact with our students on a daily basis. We must continue to attract qualified teachers who have a strong command of the subject areas to be taught and meet our qualification. We also seek to hire teachers who are capable of delivering innovative and inspirational instruction. There are a limited number of teachers in China with the necessary experience and language proficiency to teach our courses and we must provide competitive compensation packages to attract and retain qualified teachers. In addition, criteria such as commitment and dedication are difficult to ascertain during the recruitment process, in particular as we continue to expand and add teachers at a faster pace to meet rising student enrollments. We must also provide continuous training to our teachers so that they can stay abreast of changes in student demands, admissions and assessment tests, admissions standards and other key trends necessary to effectively teach their respective courses. We may not be able to hire, train and retain enough qualified teachers to keep pace with our anticipated growth while maintaining consistent teaching quality across many different schools, learning centers and programs in different geographic locations. Shortages of qualified teachers or decreases in the quality of our instruction, whether actual or perceived in one or more of our markets, may have a material and adverse effect on our business.</w:t>
      </w:r>
    </w:p>
    <w:p>
      <w:pPr>
        <w:spacing w:after="0" w:line="10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business depends on our “New Oriental” brand, and if we are not able to maintain and enhance our brand, our business and operating results may be harmed.</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that market awareness of our “New Oriental” brand has contributed significantly to the success of our business. We also believe that maintaining and enhancing the “New Oriental” brand is critical to maintaining our competitive advantage. We offer a diverse set of programs, services and products to primary and middle school students, college students and other adults throughout many provinces and cities in China. As we continue to grow in size, expand our programs, services and products and extend our geographic reach, maintaining quality and consistency may be more difficult to achieve.</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developed our student base primarily by word-of-mouth referrals and have incurred limited brand promotion expenses to date. We have initiated brand promotion efforts in recent years, but we cannot assure you</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that our new marketing efforts will be successful in further promoting our brand to remain competitive. If we are unable to further enhance our brand recognition and increase awareness of our programs, services and products, or if we incur excessive marketing and promotion expenses, our business and results of operations may be materially and adversely affected.</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Failure to effectively and efficiently manage the expansion of our school network may materially and adversely affect our ability to capitalize on new business opportunities.</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increased the number of our schools in China from three in 2001 to 25 by the end of May 2006, and increased the number of our learning centers in China from 23 in 2001 to 111 by the end of May 2006. We plan to continue to expand our operations in different geographic locations in China. This expansion has resulted, and will continue to result, in substantial demands on our management, faculty, operational, technological and other resources. Our planned expansion will also place significant demands on us to maintain the consistency of our teaching quality and our culture to ensure that our brand does not suffer as a result of any decreases, whether actual or perceived, in our teaching quality. To manage and support our growth, we must improve our existing operational, administrative and technological systems and our financial and management controls, and recruit, train and retain additional qualified teachers and management personnel as well as other administrative and sales and marketing personnel, particularly as we expand into new markets. We cannot assure you that we will be able to effectively and efficiently manage the growth of our operations, recruit and retain qualified teachers and management personnel and integrate new schools and learning centers into our operations. Any failure to effectively and efficiently manage our expansion may materially and adversely affect our ability to capitalize on new business opportunities, which in turn may have a material adverse impact on our financial condition and results of operations.</w:t>
      </w:r>
    </w:p>
    <w:p>
      <w:pPr>
        <w:spacing w:after="0" w:line="109"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b w:val="1"/>
          <w:bCs w:val="1"/>
          <w:i w:val="1"/>
          <w:iCs w:val="1"/>
          <w:color w:val="auto"/>
        </w:rPr>
        <w:t>If we fail to successfully execute our growth strategies, we may not be able to continue to attract students to enroll in our courses without a significant decrease in course fees, and our business and prospects may be materially and adversely affected.</w:t>
      </w:r>
    </w:p>
    <w:p>
      <w:pPr>
        <w:spacing w:after="0" w:line="7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growth strategies include expanding our program, service and product offerings and our network of schools, learning centers and bookstores, updating and expanding the content of our programs, services and products in a cost-effective and timely manner, as well as maintaining and continuing to establish strategic relationships with complementary businesses. The expansion of our programs, services and products in terms of types of offerings and geographic locations may not succeed due to competition, our failure to effectively market our new programs, services and products and maintain their quality and consistency, or other factors. In addition, we may be unable to identify new cities with sufficient growth potential to expand our network, and we may fail to attract students and increase student enrollments or recruit, train and retain qualified teachers for our new schools and learning centers. Some cities in China have undergone development and expansion for several decades while others are still at an early stage of urbanization and development. In more developed cities, it may be difficult to increase the number of schools and learning centers because we and/or our competitors already have operations in such cities. In recently developed and developing cities, demand for our programs, services and products may not increase as rapidly as we expect. Furthermore, we may be unable to develop or license additional content on commercially reasonable terms and in a timely manner, or at all, to keep pace with changes in market requirements. If we fail to successfully execute our growth strategies, we may not be able to continue to attract students to enroll in our courses without a significant decrease in course fees, and our business and prospects may be materially and adversely affected.</w:t>
      </w:r>
    </w:p>
    <w:p>
      <w:pPr>
        <w:spacing w:after="0" w:line="11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Third parties have in the past brought intellectual property infringement claims against us based on the content of the books and other teaching or marketing materials that we or our teachers authored and/or distributed and may bring similar claims against us in the future.</w:t>
      </w:r>
    </w:p>
    <w:p>
      <w:pPr>
        <w:spacing w:after="0" w:line="7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may be subject to claims by educational institutions and organizations, content providers and publishers, competitors and others for intellectual property rights infringement, defamation, negligence or other legal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theories based on the content of the materials that we or our teachers author and/or distribute as course materials. These types of claims have been brought, sometimes successfully, against print publications and educational institutions in the past, including ourselves. For example, in January 2001, the Graduate Management Admission Council, or GMAC, and Educational Testing Service, or ETS, filed three separate lawsuits against us in the Beijing No. 1 Intermediate People’s Court, alleging that we had violated the copyrights and trademarks relating to the GMAT test owned by GMAC and relating to the GRE and TOEFL tests owned by ETS by duplicating, selling and distributing their test materials without their authorization. In September 2003, the trial court found that we had violated GMAC’s and ETS’s respective copyrights and trademarks in connection with those admissions tests. The trial court’s judgment was partially affirmed in a final judgment issued by the Beijing Higher People’s Court in December 2004. The Beijing Higher People’s Court held that we had not misused the trademarks of GMAC or ETS. However, it also found that the TOEFL and GRE tests were the original works of ETS and the GMAT test was the original work of GMAC, all of which are protected under the PRC Copyright Law. The Beijing Higher People’s Court held that our duplication, sale and distribution of the test materials relating to these tests without ETS’s and GMAC’s prior permission was not a “reasonable use” of the test materials under the PRC Copyright Law, and that we, therefore, had infringed upon ETS’s and GMAC’s respective copyrights. We were ordered to pay damages in an aggregate of approximately RMB6.5 million, cease all infringing activities and destroy all copyright-infringing materials in our possession, all of which we have done. We have also been involved in other claims and legal proceedings against us relating to infringement of third parties’ copyrights in materials distributed by us and the unauthorized use of a third party’s name in connection with the marketing and promotion of one of our programs.</w:t>
      </w:r>
    </w:p>
    <w:p>
      <w:pPr>
        <w:spacing w:after="0" w:line="11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Since the Beijing Higher People’s Court issued the final judgment in 2004, we have endeavored to comply with the court order and applicable PRC laws and regulations relating to intellectual property, and we have adopted policies and procedures to prohibit our employees and contractors from engaging in any copyright, trademark or trade name infringing activities. However, we cannot assure you that every teacher or other personnel will strictly comply with these policies at our schools, learning centers or other locations or media through which we provide our programs, services and products. In addition, certain types of our teaching or marketing materials have subjected us to claims of intellectual property rights infringement by third parties in the past and may subject us to further claims in the future, particularly in light of the uncertainties in the interpretation and application of PRC intellectual property laws and regulations. Furthermore, if printed publications or other materials that we or our teachers author and/or distribute contain materials that government authorities find objectionable, these publications may have to be recalled, which could result in increased expenses, loss in revenues and adverse publicity. Any claims against us, with or without merit, could be time-consuming and costly to defend or litigate, divert our management’s attention and resources or result in the loss of goodwill associated with our brand. If a lawsuit against us is successful, we may be required to pay substantial damages and/or enter into royalty or license agreements that may not be based upon commercially reasonable terms, or we may be unable to enter into such agreements at all. We may also lose, or be limited in, the rights to offer some of our programs, services and products or be required to make changes to our course materials or websites. As a result, the scope of our course materials could be reduced, which could adversely affect the effectiveness of our teaching, limit our ability to attract new students, harm our reputation and have a material adverse effect on our results of operations and financial position.</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may lose our competitive advantage and our reputation, brand and operations may suffer if we fail to prevent the loss or misappropriation of, or disputes over, our intellectual property rights.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consider our trademarks and trade name invaluable to our ability to continue to develop and enhance our brand recognition. We have spent over a decade building our “New Oriental” brand by emphasizing quality and consistency and building trust among students and parents. From time to time, our trademarks and trade name have been used by third parties for or as part of other branded programs, services and products unrelated to us. We have sent cease and desist letters to such third parties in the past and will continue to do so in the future. However, preventing trademark and trade name infringement, particularly in China, is difficult, costly and time-consuming and continued unauthorized use of our trademarks and trade name by unrelated third parties may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14" w:lineRule="auto"/>
        <w:rPr>
          <w:sz w:val="20"/>
          <w:szCs w:val="20"/>
          <w:color w:val="auto"/>
        </w:rPr>
      </w:pPr>
      <w:r>
        <w:rPr>
          <w:rFonts w:ascii="Arial" w:cs="Arial" w:eastAsia="Arial" w:hAnsi="Arial"/>
          <w:sz w:val="15"/>
          <w:szCs w:val="15"/>
          <w:color w:val="auto"/>
        </w:rPr>
        <w:t>damage our reputation and brand. In addition, we have spent significant time and expense developing or licensing and localizing the content of certain educational materials, such as books, software, CD-ROMs, magazines and other periodicals, to enrich our product offerings and meet students’ needs. The measures we take to protect our trademarks, copyrights and other intellectual property rights, which presently are based upon a combination of trademark, copyright and trade secret laws, may not be adequate to prevent unauthorized use by third parties. Furthermore, the application of laws governing intellectual property rights in China and abroad is uncertain and evolving, and could involve substantial risks to us. If we are unable to adequately protect our trademarks, copyrights and other intellectual property rights, we may lose these rights, our brand name may be harmed, and our business may suffer materially.</w:t>
      </w:r>
    </w:p>
    <w:p>
      <w:pPr>
        <w:spacing w:after="0" w:line="9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in each major program we offer and each geographic market in which we operate, and if we fail to compete effectively, we may lose our market share and our profitability may be adversely affected.</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private education sector in China is rapidly evolving, highly fragmented and competitive, and we expect competition in this sector to persist and intensify. We face competition in each major program we offer and each geographic market in which we operate. For example, we face nationwide competition for our IELTS preparation courses from Global IELTS School, which offers IELTS preparation courses in many cities in China. We face regional competition for our English for children program from several competitors that focus on children’s English training in specific regions, including English First. We face competition for our “Elite English” program primarily from Wall Street Institute and EF English First, both of which offer English training courses for adults in many cities in China. Wall Street Institute began providing high-end English training courses to adults in major cities several years before we entered this market and enjoys a first-mover advantage. We also face competition from companies that focus on providing international and/or PRC test preparation courses in specific geographic markets in China.</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student enrollments may decrease due to intense competition. Some of our competitors may have more resources than we do. These competitors may be able to devote greater resources than we can to the development, promotion and sale of their programs, services and products and respond more quickly than we can to changes in student needs, testing materials, admissions standards, market needs or new technologies. In addition, we face competition from many different smaller sized organizations that focus on some of our targeted markets, which may be able to respond more promptly to changes in student preferences in these markets. In addition, the increasing use of the Internet and advances in Internet- and computer-related technologies, such as web video conferencing and online testing simulators, are eliminating geographic and cost-entry barriers to providing private educational services. As a result, many of our international competitors that offer online test preparation and language training courses, such as The Princeton Review, Inc. and Kaplan, Inc. may be able to more effectively penetrate the China market. Many of these international competitors have strong education brands, and students and parents in China may be attracted to the offerings of international competitors based in the country that the student wishes to study in or in which the selected language is widely spoken. In addition, many smaller companies are able to use the Internet to quickly and cost-effectively offer their programs, services and products to a large number of students with less capital expenditure than previously required. In addition, we may be required to reduce course fees or increase spending in response to competition in order to retain or attract students or pursue new market opportunities. As a result, our revenues and profitability may decrease. We cannot assure you that we will be able to compete successfully against current or future competitors. If we are unable to maintain our competitive position or otherwise respond to competitive pressures effectively, we may lose our market share and our profitability may be adversely affected.</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Failure to adequately and promptly respond to changes in testing materials, admissions standards and technologies could cause our programs, services and products to be less attractive to students.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Admissions and assessment tests undergo continuous change, in terms of the focus of the subjects and questions tested, the format of the tests and the manner in which the tests are administered. For example, certain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admissions and assessment tests in the United States recently added an essay component, which required us to hire and train our teachers to be able to analyze written essays that tend to be more subjective in nature and require a higher level of English proficiency. In addition, some admissions and assessment tests are increasingly being offered in a computer-based testing format. These changes require us to continually update and enhance our test preparation materials and our teaching methods. Any inability to track and respond to these changes in a timely and cost-effective manner would make our programs, services and products less attractive to students, which may materially and adversely affect our reputation and ability to continue to attract students without a significant decrease in course fees.</w:t>
      </w:r>
    </w:p>
    <w:p>
      <w:pPr>
        <w:spacing w:after="0" w:line="13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If colleges, universities and other higher education institutions reduce their reliance on admissions and assessment tests, we may experience a decrease in demand for our test preparation courses and our business may be materially and adversely affected.</w:t>
      </w:r>
    </w:p>
    <w:p>
      <w:pPr>
        <w:spacing w:after="0" w:line="72"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In the fiscal year ended May 31, 2006, we derived a significant portion of our revenues from test preparation courses. The success of our test preparation courses depends on the continued use of admissions and assessment tests. If the use of admissions and assessment tests declines or falls out of favor with educational institutions and government authorities, the markets for our online and classroom-based test preparation courses will deteriorate and our business will be materially and adversely affected. We provide preparation courses for both overseas and domestic admissions and assessment tests. In China, local government authorities’ reliance on admissions and assessment tests varies from location to location and has changed from time to time. For example, in early 2005, the PRC Ministry of Education started reforming the CET 4 and CET 6 exams, which, among other things, will limit these exams only to college students starting from 2007. As a result, the total number of students who started our CET 4 and CET 6 exam preparation courses decreased from approximately 180,000 in 2004 to approximately 140,000 in 2005, and we have experienced a slight decline in the number of students who started our CET 4 and CET 6 exam preparation courses in 2006 to date as compared to the same period in 2005. In the United States, a recent proposal by the president of the University of California to make the SAT optional for admission to the University of California system has provoked further debate in the United States about the utility and fairness of the SAT. There has been a continuing debate in the United States regarding the usefulness of admissions and assessment tests to assess qualifications and many people have criticized the use of admissions and assessment tests as unfairly discriminating against certain test takers. In addition, in March 2006, the College Board in the United States revealed that, because of technical problems in scanning answer sheets, the scores of several thousand students taking the SAT were inaccurately reported, causing additional concerns regarding the accuracy and quality of admissions and assessment tests. If a large number of educational institutions abandon the use of existing admissions and assessment tests as a requirement for admission without replacing them, with other admissions and assessment tests, we may experience a decrease in demand for our test preparation courses and our business may be seriously harmed.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programs, services and products that we develop may compete with our current offerings.</w:t>
      </w:r>
    </w:p>
    <w:p>
      <w:pPr>
        <w:spacing w:after="0" w:line="15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constantly developing new programs, services and products to meet changes in student demands and respond to changes in testing materials, admissions standards, market needs and trends and technological changes. While some of the programs, services and products that we develop will expand our current offerings and increase student enrollments, others may compete with or make irrelevant our existing offerings without increasing our total student enrollments. For example, our online courses may take away students from our existing classroom-based courses, and our new schools and learning centers may take away students from our existing schools and learning centers. If we are unable to expand our program, service and product offerings while increasing our total student enrollments and profitability, our business and growth may be adversely affected.</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business is subject to seasonal fluctuations, which may cause our operating results to fluctuate from quarter to quarter. This may result in volatility and adversely affect the price of our ADSs.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experienced, and expect to continue to experience, seasonal fluctuations in our revenues and results of operations, primary due to seasonal changes in student enrollments. Historically, our courses tend to have the largest student enrollments in our first fiscal quarter from June 1 to August 31 each year. Our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however, vary significantly and do not necessarily correspond with changes in our student enrollments and revenues. We make investments in marketing and promotion, teacher recruitment and training, and product development throughout the year. We expect quarterly fluctuations in our revenues and results of operations to continue. These fluctuations could result in volatility and adversely affect the price of our ADSs. As our revenues grow, these seasonal fluctuations may become more pronounced.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historical financial and operating results are not indicative of future performance; our financial and operating results are difficult to forecast.</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financial and operating results may not meet the expectations of public market analysts or investors, which could cause the price of our ADSs to decline. In addition to the seasonal fluctuations described above, our revenues, expenses and operating results may vary from quarter to quarter and from year to year in response to a variety of other factors beyond our control, including:</w:t>
      </w:r>
    </w:p>
    <w:p>
      <w:pPr>
        <w:spacing w:after="0" w:line="12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student enrollments and course fees;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regulations or actions pertaining to the provision of private educational services in China;</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consumers’ spending patterns;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control cost of revenues and operating expenses;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non-recurring charges incurred in connection with acquisitions or other extraordinary transactions or unexpected circumstances.</w:t>
      </w:r>
    </w:p>
    <w:p>
      <w:pPr>
        <w:spacing w:after="0" w:line="1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Due to these factors, among others, we believe that quarter-to-quarter comparisons of our operating results may not be indicative of our future performance and you should not rely on them to predict the future performance of our ADSs. In addition, our past results may not be indicative of future performance because of our new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difficult to evaluate because we have limited experience generating net income from some of our newer services.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Historically, our core businesses have been English language training for adults and test preparation courses for college and graduate students. New Oriental China established a private primary and secondary school in Yangzhou in 2002. We established our “Pop Kids” English program in 2004 for children in kindergarten through grade six and began offering high-end “Elite English” program to adults and children in 2003. In addition, our online education programs were launched in 2000. Some of these operations have not generated significant or any profit to date and we have less experience responding quickly to changes, competing successfully and maintaining and expanding our brand in these areas without jeopardizing our brand in other areas. Consequently, there is limited operating history on which you can base your evaluation of the business and prospects of these relatively more recent operations.</w:t>
      </w:r>
    </w:p>
    <w:p>
      <w:pPr>
        <w:spacing w:after="0" w:line="10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success depends on the continuing efforts of our senior management team and other key personnel and our business may be harmed if we lose their services.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future success depends heavily upon the continuing services of the members of our senior management team, in particular, our founder, chairman and chief executive officer, Michael Minhong Yu, who has been our leader since our inception in 1993. If one or more of our senior executives or other key personnel are unable or unwilling to continue in their present positions, we may not be able to replace them easily or at all, and our business may be disrupted and our financial condition and results of operations may be materially and adversely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affected. Competition for experienced management personnel in the private education sector is intense, the pool of qualified candidates is very limited, and we may not be able to retain the services of our senior executives or key personnel, or attract and retain high-quality senior executives or key personnel in the future. In addition, if any member of our senior management team or any of our other key personnel joins a competitor or forms a competing company, we may lose teachers, students, key professionals and staff members. Each of our executive officers and key employees has entered into a confidentiality and non-competition agreement with us. If any disputes arise between any of our senior executives or key personnel and us, it may be difficult to enforce these agreements against these individuals.</w:t>
      </w:r>
    </w:p>
    <w:p>
      <w:pPr>
        <w:spacing w:after="0" w:line="1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generate a majority of our revenues from four cities in China. Any event negatively affecting the private education industry in these cities could have a material adverse effect on our overall business and results of operations.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currently generate a majority of our revenues in Beijing, Shanghai, Wuhan and Guangzhou. We derived approximately two-thirds of our total net revenues for the fiscal year ended May 31, 2006 from these four cities and we expect these cities to continue to constitute important sources of our revenues. If any of these cities experiences an event negatively affecting its private education industry, such as a serious economic downturn, a natural disaster or outbreak of contagious disease, or if any of these cities adopts regulations relating to private education that place additional restrictions or burdens on us, our overall business and results of operations may be materially and adversely affected.</w:t>
      </w:r>
    </w:p>
    <w:p>
      <w:pPr>
        <w:spacing w:after="0" w:line="10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are not able to continually enhance our online programs, services and products and adapt them to rapid technological changes and student needs, we may lose market share and our business could be adversely affected.</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Rapid growth in the use of the Internet is a recent occurrence, and the market for Internet-based programs, services and products is characterized by rapid technological changes and innovation, unpredictable product life cycles and user preferences. We have limited experience with generating revenues from online programs, services and products and their results are largely uncertain. The increasing adoption of computer-based testing formats for admissions testing may lead more students to seek online test preparation courses. We must quickly modify our programs, services and products to adapt to changing student needs and preferences, technological advances and evolving Internet practices. Ongoing enhancement of our online offerings and related technology may entail significant expense and technical risk. We may use new technologies ineffectively or fail to adapt our online products or services and related technology on a timely and cost-effective basis. If our improvements to our online offerings and the related technology are delayed, result in systems interruptions or are not aligned with market expectations or preferences, we may lose market share and our business could be adversely affected.</w:t>
      </w:r>
    </w:p>
    <w:p>
      <w:pPr>
        <w:spacing w:after="0" w:line="1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over financial reporting, we may not be able to accurately report our financial results or prevent fraud.</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will be subject to reporting obligations under the U.S. securities laws. The Securities and Exchange Commission, or the SEC, as required by Section 404 of the Sarbanes-Oxley Act of 2002, or the Sarbanes-Oxley Act, adopted rules requiring every public company to include a management report on such company’s internal controls over financial reporting in its annual report, which contains management’s assessment of the effectiveness of the company’s internal controls over financial reporting. In addition, an independent registered public accounting firm must attest to and report on management’s assessment of the effectiveness of the company’s internal controls over financial reporting. These requirements will first apply to our annual report on Form 20-F for the fiscal year ending on May 31, 2008. Our management may conclude that our internal controls over our financial reporting are not effective. Moreover, even if our management concludes that our internal controls over financial reporting is effective, our independent registered public accounting firm may still decline to attest to our management’s assessment or may issue a report that is qualified if it is not satisfied with our internal controls or the level at which our controls are documented, designed, operated or reviewed, or if it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interprets the relevant requirements differently from us. Our reporting obligations as a public company will place a significant strain on our management, operational and financial resources and systems for the foreseeable future.</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Prior to this offering, we have been a private company with limited accounting personnel and other resources with which to address our internal controls and procedures. As a result, during fiscal years ended May 31, 2004 and 2005, our independent registered public accounting firm identified a number of control deficiencies, as defined in the Public Company Accounting Oversight Board’s Audit Standard No. 2. The control deficiencies identified by our independent auditors include (i) the lack of sufficient financial reporting and accounting personnel to fulfill the post-offering U.S. GAAP reporting requirements; (ii) the lack of a centralized comprehensive accounting policies and procedures manual prepared in accordance with U.S. GAAP to guide the day-to-day operations of accounting and finance personnel; and (iii) the lack of systematic monthly closing procedures. We have implemented the following measures to remediate the deficiencies: (i) hiring and training of qualified financial reporting and accounting personnel with experience in U.S. GAAP reporting; (ii) developing a comprehensive accounting policies and procedures manual to guide the day-to-day operations of our accounting and finance personnel; (iii) rolling out a new computerized enrollment system to timely track course enrollment and other relevant operating data across our school network; and (iv) strengthening our internal audit team to monitor the implementation of our policies and procedures. We will continue to implement measures to remedy these control deficiencies in time to meet the deadline imposed by Section 404 of the Sarbanes-Oxley Act. If we fail to timely achieve and maintain the adequacy of our internal controls, we may not be able to conclude that we have effective internal controls over financial reporting. Moreover, effective internal controls over financial reporting are necessary for us to produce reliable financial reports and are important to help prevent fraud. As a result, our failure to achieve and maintain effective internal controls over financial reporting could result in the loss of investor confidence in the reliability of our financial statements, which in turn could harm our business and negatively impact the trading price of our ADSs. Furthermore, we anticipate that we will incur considerable costs and use significant management time and other resources in an effort to comply with Section 404 of the Sarbanes-Oxley Act.</w:t>
      </w:r>
    </w:p>
    <w:p>
      <w:pPr>
        <w:spacing w:after="0" w:line="11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do not have any liability or business disruption insurance, and a liability claim against us due to injuries suffered by our students or other people at our facilities could adversely affect our reputation and our financial results.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could be held liable for accidents that occur at our learning centers and other facilities, including indoor facilities where we organize certain summer camps activities and temporary housing facilities that we lease for our students from time to time. In the event of on-site food poisoning, personal injuries, fires or other accidents suffered by students or other people, we could face claims alleging that we were negligent, provided inadequate supervision or were otherwise liable for the injuries. We currently do not have any liability insurance or business disruption insurance. A successful liability claim against us due to injuries suffered by our students or other people at our facilities could adversely affect our reputation and our financial results. Even if unsuccessful, such a claim could cause unfavorable publicity, require substantial cost to defend and divert the time and attention of our management.</w:t>
      </w:r>
    </w:p>
    <w:p>
      <w:pPr>
        <w:spacing w:after="0" w:line="1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Capacity constraints or system disruptions to our computer systems or websites could damage our reputation and limit our ability to retain students and increase student enrollments.</w:t>
      </w:r>
    </w:p>
    <w:p>
      <w:pPr>
        <w:spacing w:after="0" w:line="11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performance and reliability of our online program infrastructure is critical to our reputation and ability to retain students and increase student enrollments. Any system error or failure, or a sudden and significant increase in traffic, could result in the difficulty of accessing our websites by our students or unavailability of our online programs. We cannot assure you that we will be able to expand our online program infrastructure on a timely basis sufficient to meet demand for such programs. Our computer systems and operations could be vulnerable to interruption or malfunction due to events beyond our control, including natural disasters and telecommunications failures. Any interruption to our computer systems or operations could have a material adverse effect on our ability to retain students and increase student enrollments.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computer networks may be vulnerable to security risks that could disrupt operations and require us to expend significant resources.</w:t>
      </w:r>
    </w:p>
    <w:p>
      <w:pPr>
        <w:spacing w:after="0" w:line="18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computer networks may be vulnerable to unauthorized access, computer hackers, computer viruses and other security problems. A user who circumvents security measures could misappropriate proprietary information or cause interruptions or malfunctions in operations. As a result, we may be required to expend significant resources to protect against the threat of these security breaches or to alleviate problems caused by these breaches.</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face risks related to health epidemics and other outbreaks, which could result in reduced attendance or temporary closure of our schools, learning centers and bookstores.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business could be materially and adversely affected by the outbreak of avian influenza, severe acute respiratory syndrome, or SARS, or another epidemic. In 2005 and 2006, there have been reports on the occurrences of avian influenza in various parts of China, including a few confirmed human cases and deaths. Any prolonged recurrence of avian influenza, SARS or other adverse public health developments in China may have a material and adverse effect on our business operations. These could require the temporary closure of our schools, learning centers and bookstores. Such closures could severely disrupt our business operations and adversely affect our results of operations.</w:t>
      </w:r>
    </w:p>
    <w:p>
      <w:pPr>
        <w:spacing w:after="0" w:line="10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Terrorist attacks, geopolitical uncertainty and international conflicts involving the U.S. and elsewhere may discourage more students from studying in the United States and elsewhere outside of China, which could cause declines in the student enrollments for our courses.</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Terrorist attacks, geopolitical uncertainty and international conflicts involving the U.S. and elsewhere, such as those that took place on September 11, 2001, could have an adverse effect on our overseas test preparation courses and English language training courses. Such attacks may discourage students from studying in the United States and elsewhere outside of China and may also make it more difficult for Chinese students to obtain visas to study abroad. These factors could cause declines in the student enrollments for our test preparation and English language training courses and could have an adverse effect on our overall business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 public company, we will incur significant accounting, legal and other expenses that we did not incur as a private company. The Sarbanes-Oxley Act, as well as new rules subsequently implemented by the SEC, the New York Stock Exchange and the Nasdaq National Market, have detailed requirements concerning corporate governance practices of public companies including Section 404 relating to internal controls over financial reporting. We expect these new rules and regulations to increase our accounting, legal and financial compliance costs and to make certain corporate activities more time-consuming and costly. In addition, we will incur additional costs associated with our public company reporting requirements. We are currently evaluating and monitoring developments with respect to these new rules, and we cannot predict or estimate the amount of additional costs we may incur or the timing of such costs.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the PRC government finds that the agreements that establish the structure for operating our China business do not comply with applicable PRC laws and regulations, we could be subject to severe penalties.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PRC laws and regulations currently require any foreign entity that invests in the education business in China to be an educational institution with relevant experience in providing educational services outside China. Our Cayman Islands holding company is not an educational institution and does not provide educational services. In addition, foreign ownership of primary and middle schools for students in grades one to nine is prohibited in the PRC. Accordingly, our wholly owned subsidiaries in China, which are considered foreign-invested, are currently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ineligible to apply for the required education licenses and permits in China. We conduct our education business in China through contractual arrangements with New Oriental China and its subsidiaries and shareholders. New Oriental China is our consolidated affiliated entity directly owned by our founders and/or their respective affiliates. New Oriental China’s subsidiaries hold the requisite licenses and permits necessary to conduct our education business and operate our schools, learning centers and bookstores in China. We have been and are expected to continue to be dependent on New Oriental China and its subsidiaries to operate our education business until we qualify for direct ownership of educational businesses in China. We have entered into contractual arrangements with New Oriental China and its subsidiaries, pursuant to which we, through our wholly owned subsidiaries in China, provide exclusive teaching support, new enrollment system support and other services to New Oriental China and its subsidiaries in exchange for payments from them. In addition, we have entered into agreements with New Oriental China and each of the shareholders of New Oriental China, which provide us with a substantial ability to control New Oriental China and its existing and future subsidiaries.</w:t>
      </w:r>
    </w:p>
    <w:p>
      <w:pPr>
        <w:spacing w:after="0" w:line="10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any of our wholly owned subsidiaries, New Oriental China or any of its existing and future subsidiaries are found to be in violation of any existing or future PRC laws or regulations or fail to obtain or maintain any of the required permits or approvals, the relevant PRC regulatory authorities including the Ministry of Education, or MOE, which regulates the education industry, would have broad discretion in dealing with such violations, including:</w:t>
      </w:r>
    </w:p>
    <w:p>
      <w:pPr>
        <w:spacing w:after="0" w:line="93"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revoking the business and operating licenses of our PRC subsidiaries and affiliated entities;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discontinuing or restricting the operations of any related-party transactions among our PRC subsidiaries and affiliated entities;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imposing fines or other requirements with which we or our PRC subsidiaries and affiliated entities may not be able to comply;</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or our PRC subsidiaries and affiliated entities to restructure the relevant ownership structure or operations; or</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this offering to finance our business and operations in China.</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imposition of any of these penalties could result in a material and adverse effect on our ability to conduct our business.</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rely on contractual arrangements with New Oriental China and its subsidiaries and shareholders for our China operations, which may not be as effective in providing operational control as direct ownership.</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have relied and expect to continue to rely on contractual arrangements with New Oriental China and its subsidiaries and shareholders to operate our education business. For a description of these contractual arrangements, see “Corporate Structure—Our Corporate Structure and Contractual Arrangements” and “Related Party Transactions—Contractual Arrangements with New Oriental China and Its Subsidiaries and Shareholders.” These contractual arrangements may not be as effective in providing us with control over New Oriental China and its subsidiaries as direct ownership. If we had direct ownership of New Oriental China and its subsidiaries, we would be able to exercise our rights as a shareholder to effect changes in the board of directors of New Oriental China and its subsidiaries, which in turn could effect changes, subject to any applicable fiduciary obligations, at the management level. However, under the current contractual arrangements, as a legal matter, if New Oriental China or any of its subsidiaries and shareholders fails to perform its or his respective obligations under these contractual arrangements, we may have to incur substantial costs and resources to enforce such arrangements, and rely on legal remedies under PRC law, including seeking specific performance or injunctive relief, and claiming damages, which may not be effective. For example, if the shareholders of New Oriental China were to refuse to transfer their equity interest in New Oriental China to us or our designee when we exercise the call option pursuant to these contractual arrangements, or if they were otherwise to act in bad faith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toward us, then we may have to take legal action to compel them to fulfill their contractual obligations. In addition, we may not be able to renew these contracts with New Oriental China and/or its subsidiaries and shareholders if the beneficial owners of New Oriental China do not act in the best interests of our company when conflicts of interest arise between their dual roles as beneficial owners and directors of both New Oriental China and our company. See “—The beneficial owners of New Oriental China may have potential conflicts of interest with us, which may materially and adversely affect our business and financial condition.”</w:t>
      </w:r>
    </w:p>
    <w:p>
      <w:pPr>
        <w:spacing w:after="0" w:line="99"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Many of these contractual arrangements are governed by PRC law and provide for the resolution of disputes through arbitration in the PRC. Accordingly, these contracts would be interpreted in accordance with PRC law and any disputes would be resolved in accordance with PRC legal procedures. The legal environment in the PRC is not as developed as in other jurisdictions, such as the United States. As a result, uncertainties in the PRC legal system could limit our ability to enforce these contractual arrangements. In the event we are unable to enforce these contractual arrangements, we may not be able to exert effective control over our affiliated entities, and our ability to conduct our business may be negatively affected.</w:t>
      </w:r>
    </w:p>
    <w:p>
      <w:pPr>
        <w:spacing w:after="0" w:line="10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The beneficial owners of New Oriental China may have potential conflicts of interest with us, which may materially and adversely affect our business and financial condition.</w:t>
      </w:r>
    </w:p>
    <w:p>
      <w:pPr>
        <w:spacing w:after="0" w:line="11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The beneficial owners of New Oriental China are also the founders and beneficial owners of our company. Some of them are directors of both New Oriental China and our company. Conflicts of interests between their dual roles as beneficial owners and directors of both New Oriental China and our company may arise. We cannot assure you that when conflicts of interest arise, any or all of these individuals will act in the best interests of our company or that conflicts of interests will be resolved in our favor. In addition, these individuals may breach or cause New Oriental China and its subsidiaries to breach or refuse to renew the existing contractual arrangements that allow us to effectively control New Oriental China and its subsidiaries, and receive economic benefits from them.</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Currently, we do not have existing arrangements to address potential conflicts of interest between these individuals and our company. We rely on these individuals to abide by the laws of the Cayman Islands and China, both of which provide that directors owe a fiduciary duty to the company, which requires them to act in good faith and in the best interests of the company and not to use their positions for personal gain. If we cannot resolve any conflicts of interest or disputes between us and the beneficial owners of New Oriental China, we would have to rely on legal proceedings, which could result in disruption of our business and substantial uncertainty as to the outcome of any such legal proceedings.</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New Oriental China and its subsidiaries may be subject to significant limitations on their ability to operate private schools or make payments to related parties or otherwise be materially and adversely affected by changes in PRC laws and regulations.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principal regulations governing private education in China are The Law for Promoting Private Education (2003) and The Implementation Rules for the Law for Promoting Private Education (2004). Under these regulations, a private school may elect to be a school that does not require reasonable returns or a school that requires reasonable returns. At the end of each fiscal year, every private school is required to allocate a certain amount to its development fund for the construction or maintenance of the school or procurement or upgrade of educational equipment. In the case of a private school that requires reasonable returns, this amount shall be no less than 25% of annual net income of the school, while in the case of a private school that does not require reasonable returns, this amount shall be equivalent to no less than 25% of the annual increase in the net assets of the school, if any. A private school that requires reasonable returns must publicly disclose such election and additional information required under the regulations. A private school shall consider factors such as the school’s tuition, ratio of the funds used for education-related activities to the course fees collected, admission standards and educational quality when determining the percentage of the school’s net income that would be distributed to the investors as reasonable returns. However, none of the current PRC laws and regulations provides a formula or guidelines for determining “reasonable returns.” In addition, none of the current PRC laws and regulations sets forth different requirements or restrictions on a private school’s ability to operate 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education business based on such school’s status as a school that requires reasonable returns or a school that does not require reasonable returns.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With regard to income tax, according to the Implementation Rules for The Law for Promoting Private Education (2004), private schools that do not require reasonable returns are entitled to the same preferential tax treatment as public schools, while preferential tax treatment policies applicable to private schools requiring reasonable returns are separately formulated by the relevant authorities under the State Council. To date, however, no separate regulations or policies have been promulgated by the relevant authorities in this regard. As a result, our schools are subject to the specific requirements of their respective local tax authorities, which vary from location to location. In some cities, our schools are registered as schools that require reasonable returns, while in other cities, our schools are registered as schools that do not require reasonable returns. The current PRC laws and regulations governing private education may be amended or replaced by new laws and regulations that (i) impose significant limitations on the ability of our schools to operate their business, charge course fees or make payments to related parties for services received, (ii) specify the formula for calculating “reasonable returns,” or (iii) change the preferential tax treatment policies applicable to private schools. We cannot predict the timing and effects of any such amendments or new laws and regulations. Changes in PRC laws and regulations governing private education or otherwise affecting New Oriental China’s and its subsidiaries’ operations could materially and adversely affect our business prospects and results of operations.</w:t>
      </w:r>
    </w:p>
    <w:p>
      <w:pPr>
        <w:spacing w:after="0" w:line="11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discontinuation of any preferential tax treatments currently available to us could result in a decrease of our net income and materially and adversely affect our results of operations.</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According to The Implementation Rules for the Law for Promoting Private Education (2004), private schools that do not require reasonable returns enjoy the same preferential tax treatment as public schools, while the preferential tax treatment policies applicable to private schools requiring reasonable returns shall be separately formulated by the relevant authorities under the State Council. To date, however, no separate regulations or policies have been promulgated by the relevant authorities in this regard. In practice, tax treatments for private schools vary across different cities in China. In some cities, private schools are subject to a 33% standard enterprise income tax, while in other cities, private schools are subject to a 2% tax on gross receipts in lieu of the 33% standard enterprise income tax or may be exempted from enterprise income tax. In addition, some of our PRC subsidiaries and other affiliated entities currently also enjoy certain preferential tax treatment. Preferential tax treatments granted to us by local governmental authorities are subject to review and may be adjusted or revoked at any time in the future. The discontinuation of any preferential tax treatments currently available to us, especially those schools in major cities, will cause our effective tax rate to increase, which will increase our income tax expenses and in turn decrease our net income.</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under PRC laws and regulations, an enterprise that is registered in a high-tech zone and also qualifies as “new or high-technology enterprise” may enjoy preferential tax benefits. Each of our wholly owned subsidiaries in China and New Oriental China is a certified “new or high-technology enterprise” newly established in a high-tech zone in Beijing, and is entitled to a three-year exemption from enterprise income tax beginning from its first year of operation, a 7.5% enterprise income tax rate for another three years followed by a 15% tax rate so long as it continues to qualify as a “new or high-technology enterprise.” If PRC laws and regulations were to phase out preferential tax benefits currently granted to “new or high-technology enterprises,” our wholly owned subsidiaries in China and New Oriental China would be subject to the standard enterprise income tax rate, which currently is 33%. Loss of these preferential tax treatments could have a material and adverse effect on our financial condition and results of operations.</w:t>
      </w:r>
    </w:p>
    <w:p>
      <w:pPr>
        <w:spacing w:after="0" w:line="10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Contractual arrangements we have entered into among our subsidiaries and New Oriental China and its subsidiaries may be subject to scrutiny by the PRC tax authorities and a finding that we or New Oriental China and its subsidiaries owe additional taxes could substantially reduce our consolidated net income and the value of your investment.</w:t>
      </w:r>
    </w:p>
    <w:p>
      <w:pPr>
        <w:spacing w:after="0" w:line="12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Under PRC laws and regulations, arrangements and transactions among related parties may be subject to audit or challenge by the PRC tax authorities. We could face material and adverse tax consequences if the PRC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tax authorities determine that the contractual arrangements among our wholly owned subsidiaries in China and New Oriental China and its subsidiaries do not represent an arm’s-length price and adjust New Oriental China or any of its subsidiaries’ income in the form of a transfer pricing adjustment. A transfer pricing adjustment could, among other things, result in a reduction, for PRC tax purposes, of expense deductions recorded by New Oriental China or any of its subsidiaries, which could in turn increase its tax liabilities. In addition, the PRC tax authorities may impose late payment fees and other penalties to our affiliated entities for under-paid taxes. Our consolidated net income may be materially and adversely affected if our affiliated entities’ tax liabilities increase or if they are found to be subject to late payment fees or other penalties.</w:t>
      </w:r>
    </w:p>
    <w:p>
      <w:pPr>
        <w:spacing w:after="0" w:line="10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Regulatory agencies may commence investigations of the private primary and secondary school directly owned and operated by a subsidiary of New Oriental China. If the results of the investigations are unfavorable to us, we may be subject to fines, penalties, injunctions or other censure that could have an adverse impact on our results of operations.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PRC laws and regulations currently prohibit foreign ownership of primary and middle schools for students in grades one to nine in China. New Oriental China owns and operates a private primary and secondary school in Yangzhou, which may enter into contractual arrangements with our wholly owned subsidiaries in China in the future to pay teaching support and other fees to our subsidiaries in exchange for their services. As the provision of private primary and middle school services is a heavily regulated industry in China, the Yangzhou school and any new primary schools that New Oriental China or any of its subsidiaries establishes in the future may be subject from time to time to investigations, claims of non-compliance or lawsuits by governmental agencies, which may allege statutory violations, regulatory infractions or other causes of action. If the results of the investigations are unfavorable to us, we may be subject to fines, penalties, injunctions or other censure that could have an adverse impact on our results of operations. Even if we adequately address the issues raised by a government investigation, we may have to devote significant financial and management resources to resolve these issues, which could harm our business.</w:t>
      </w:r>
    </w:p>
    <w:p>
      <w:pPr>
        <w:spacing w:after="0" w:line="10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We rely principally on dividends and other distributions on equity paid by our wholly owned subsidiaries to fund any cash and financing requirements we may have, and any limitation on the ability of our subsidiaries and affiliated entities to make payments to us could have a material adverse effect on our ability to conduct our business.</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5"/>
          <w:szCs w:val="15"/>
          <w:color w:val="auto"/>
        </w:rPr>
        <w:t>We are a holding company, and we rely principally on dividends from our wholly owned subsidiaries in China and service, license and other fees paid to our wholly owned subsidiaries by New Oriental China and its subsidiaries for our cash requirements, including any debt we may incur. Current PRC regulations permit our subsidiaries to pay dividends to us only out of their accumulated profits, if any, determined in accordance with Chinese accounting standards and regulations. In addition, each of our subsidiaries and affiliated entities (other than our schools) in China is required to set aside at least 10% of its after-tax profits each year, if any, to fund a statutory reserve until such reserve reaches 50% of its registered capital, and each of our subsidiaries is required to further set aside a portion of its after-tax profits to fund the employee welfare fund at the discretion of the board. These reserves are not distributable as cash dividends. Furthermore, if our subsidiaries and affiliated entities in China incur debt on their own behalf in the future, the instruments governing the debt may restrict their ability to pay dividends or make other payments to us. In addition, the PRC tax authorities may require us to adjust our taxable income under the contractual arrangements we currently have in place in a manner that would materially and adversely affect our subsidiaries’ ability to pay dividends and other distributions to us. Moreover, at the end of each fiscal year, every private school in China is required to allocate a certain amount to its development fund for the construction or maintenance of the school or procurement or upgrade of educational equipment. In the case of a private school that requires reasonable returns, this amount shall be no less than 25% of the annual net income of the school, while in the case of a private school that does not require reasonable returns, this amount shall be equivalent to no less than 25% of the annual increase in the net assets of the school, if any. See “—New Oriental China and its subsidiaries may be subject to significant limitations on their ability to operate private schools or make payments to related parties or otherwise be materially and adversely affected by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changes in PRC laws and regulations.” Any limitation on the ability of our subsidiaries and affiliated entities to distribute dividends or other payments to us could materially and adversely limit our ability to grow, make investments or acquisitions that could be beneficial to our businesses, pay dividends, or otherwise fund and conduct our business.</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PRC regulation of loans and direct investment by offshore holding companies to PRC entities may delay or prevent us from using the proceeds of this offering to make loans or additional capital contributions to our PRC operating subsidiaries and affiliated entities, which could materially and adversely affect our liquidity and our ability to fund and expand our business.</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utilizing the proceeds of this offering in the manner described in “Use of Proceeds,” as an offshore holding company of our PRC operating subsidiaries and affiliated entities, we may make loans to our PRC subsidiaries and consolidated affiliated entities, or we may make additional capital contributions to our PRC subsidiaries. Any loans to our PRC subsidiaries or consolidated PRC affiliated entities are subject to PRC regulations and approvals. For example:</w:t>
      </w:r>
    </w:p>
    <w:p>
      <w:pPr>
        <w:spacing w:after="0" w:line="93" w:lineRule="exact"/>
        <w:rPr>
          <w:sz w:val="20"/>
          <w:szCs w:val="20"/>
          <w:color w:val="auto"/>
        </w:rPr>
      </w:pPr>
    </w:p>
    <w:p>
      <w:pPr>
        <w:ind w:left="780" w:hanging="326"/>
        <w:spacing w:after="0" w:line="332"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loans by us to our wholly owned subsidiaries in China, each of which is a foreign-invested enterprise, to finance their activities cannot exceed statutory limits and must be registered with the PRC State Administration of Foreign Exchange, or SAFE, or its local counterpart; and</w:t>
      </w:r>
    </w:p>
    <w:p>
      <w:pPr>
        <w:spacing w:after="0" w:line="71"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loans by us to New Oriental China or its subsidiaries, which are domestic PRC entities, must be approved by the relevant government authorities and must also be registered with SAFE or its local counterpart.</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may also decide to finance our wholly owned subsidiaries by means of capital contributions. These capital contributions must be approved by the PRC Ministry of Commerce or its local counterpart. Because New Oriental China and its subsidiaries are domestic PRC entities, we are not likely to finance their activities by means of capital contributions due to regulatory issues relating to foreign investment in domestic PRC entities, as well as the licensing and other regulatory issues discussed in the “Regulations” section of this prospectus. We cannot assure you that we will be able to obtain these government registrations or approvals on a timely basis, if at all, with respect to future loans or capital contributions by us to our subsidiaries or New Oriental China or any of their respective subsidiaries. If we fail to receive such registrations or approvals, our ability to use the proceeds of this offering and to capitalize our PRC operations may be negatively affected, which could adversely and materially affect our liquidity and our ability to fund and expand our business.</w:t>
      </w:r>
    </w:p>
    <w:p>
      <w:pPr>
        <w:spacing w:after="0" w:line="10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The regulation of Internet website operators is relatively new and subject to interpretation, and our operation of online education programs could be adversely affected if we are deemed to have violated applicable laws and regulations.</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Beijing New Oriental Xuncheng Network Technology Co., Ltd., or Xuncheng Network, a subsidiary of New Oriental China, engages in online education services through the Internet. The interpretation and application of existing Chinese laws and regulations, the stated positions of the main governing authority, the Ministry of Information Industry, or MII, and the possibility of adopting new laws or regulations have created significant uncertainties regarding the legality of the businesses and activities of Chinese companies with Internet operations. In particular, according to the Internet Information Services Administrative Measures promulgated by the State Council on September 25, 2000, the activities of Internet content providers are regulated by various Chinese government authorities including, the Ministry of Education, the State Administration of Radio, Film and Television, the General Administration of Press and Publication, or GAPP, and the Ministry of Culture, or MOC, depending on the specific activities conducted by the Internet content provider. In addition, MII recently posted a notice on its website entitled “Notice on Strengthening Management of Foreign Investment in Operating Value-Added Telecom Services.” The notice prohibits PRC Internet content providers from leasing, transferring or selling their ICP licenses or providing facilities or other resources to any illegal foreign investors. The notice states that PRC Internet content providers should directly own the trademarks and domain names for websites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operated by them, as well as servers and other infrastructure used to support these websites. The notice also states that PRC Internet content providers have until November 1, 2006 to evaluate their compliance with the notice and correct any non-compliance. A PRC Internet content provider’s failure to do so by November 1, 2006 may result in revocation of its ICP license. Xuncheng Network holds an ICP License issued by the Beijing branch of the MII, and is in the process of obtaining an Internet Culture License issued by Beijing branch of MOC and an Internet Publishing License issued by Beijing branch of GAPP for its online training programs. Xuncheng Network directly owns its domain names as well as servers and other infrastructure used to support our websites operating under these domain names. We are in the process of transferring relevant trademarks from our wholly owned subsidiaries in China to Xuncheng Network and believe that such transfer will be completed before November 1, 2006. Due to the uncertainties of interpretation and implementation of relevant regulations by different authorities, we cannot assure you that the licenses held by Xuncheng Network will be deemed to be adequate for all its online services. Failure to comply with applicable Chinese Internet regulations could subject us to severe penalties, including fines and/or other restrictions imposed upon us, or even orders of cessation of Xucheng’s operation.</w:t>
      </w:r>
    </w:p>
    <w:p>
      <w:pPr>
        <w:spacing w:after="0" w:line="10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Regulation and censorship of information disseminated over the Internet in China may adversely affect our business and reputation and subject us to liability for information displayed on our websites.</w:t>
      </w:r>
    </w:p>
    <w:p>
      <w:pPr>
        <w:spacing w:after="0" w:line="11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In the past, failure to comply with such requirements has resulted in the closure of certain websites. The website operator may also be held liable for such censored information displayed on or linked to the websites. If any of our websites, including those used for our online education business, are found to be in violation of any such requirements, we may be penalized by relevant authorities, and our operations or reputation could be adversely affected.</w:t>
      </w:r>
    </w:p>
    <w:p>
      <w:pPr>
        <w:spacing w:after="0" w:line="10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Some of our affiliated companies previously engaged in activities without necessary approvals. This could subject those companies to fines and other penalties, which could have a material adverse effect on our business.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Some of our affiliated companies historically engaged in business activities that were not within the authorized scope of their respective licenses and without requisite approvals. For example, Xuncheng Network had engaged in online sales of publications without all necessary licenses and permits. Each of these companies subsequently ceased the unauthorized activities or included these activities into the business scope of their respective business licenses. While all these companies currently operate within their authorized scope of business or are in the process of obtaining relevant licenses, the relevant PRC authorities have the authority to impose fines or other penalties for their violations. In rare instances, these authorities may require disgorgement of profits or revoke business license, but as a matter of practice, the authorities are likely to impose such an extreme penalty only after repeated warnings are ignored or where a violation is blatant and continuous. Due to the discretionary nature of regulatory enforcements in the PRC, we cannot assure you that these companies will not be subject to such type of penalties for their past violations, or that such type of penalties will not have a material adverse effect on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6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Adverse changes in economic and political policies of the PRC government could have a material adverse effect on the overall economic growth of China, which could adversely affect our business.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Substantially all of our business operations are conducted in China. Accordingly, our results of operations, financial condition and prospects are subject to a significant degree to economic, political and legal developments in China. China’s economy differs from the economies of most developed countries in many respects, including with respect to the amount of government involvement, level of development, growth rate,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control of foreign exchange and allocation of resources. While the PRC economy has experienced significant growth in the past 20 years, growth has been uneven across different regions and among various economic sectors of China. The PRC government has implemented various measures to encourage economic development and guide the allocation of resources. While some of these measures benefit the overall PRC economy, they may also have a negative effect on us. For example, our financial condition and results of operations may be adversely affected by government control over capital investments or changes in tax regulations that are applicable to us.</w:t>
      </w:r>
    </w:p>
    <w:p>
      <w:pPr>
        <w:spacing w:after="0" w:line="1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PRC economy has been transitioning from a planned economy to a more market-oriented economy. Although the PRC government has implemented measures since the late 1970s emphasizing the utilization of market forces for economic reform, the reduction of state ownership of productive assets and the establishment of improved corporate governance in business enterprises, a substantial portion of productive assets in China is still owned by the PRC government. In addition, the PRC government continues to play a significant role in regulating industry development by imposing industrial policies. The PRC government also exercises significant control over China’s economic growth through the allocation of resources, controlling payment of foreign currency-denominated obligations, setting monetary policy and providing preferential treatment to particular industries or companies. Since late 2003, the PRC government implemented a number of measures, such as raising interest rates and bank reserve requirements to place additional limitations on the ability of commercial banks to make loans, in order to contain the growth of specific segments of China’s economy that it believed to be overheating. These actions, as well as future actions and policies of the PRC government, could materially affect our liquidity and access to capital and our ability to operate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adversely affect us.</w:t>
      </w:r>
    </w:p>
    <w:p>
      <w:pPr>
        <w:spacing w:after="0" w:line="15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conduct our business primarily through our subsidiaries and affiliated entities in China. Our operations in China are governed by PRC laws and regulations. Our subsidiaries are generally subject to laws and regulations applicable to foreign investments in China and, in particular, laws applicable to wholly foreign-owned enterprises. The PRC legal system is based on written statutes. Prior court decisions may be cited for reference but have limited precedential value.</w:t>
      </w:r>
    </w:p>
    <w:p>
      <w:pPr>
        <w:spacing w:after="0" w:line="7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Since 1979, PRC legislation and regulations have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because these laws and regulations are relatively new, and because of the limited volume of published decisions and their nonbinding nature, the interpretation and enforcement of these laws and regulations involve uncertainties. In addition, the PRC legal system is based in part on government policies and internal rules (some of which are not published on a timely basis or at all) that may have a retroactive effect. As a result, we may not be aware of our violation of these policies and rules until some time after the violation. In addition, any litigation in China may be protracted and result in substantial costs and diversion of resources and management attention.</w:t>
      </w:r>
    </w:p>
    <w:p>
      <w:pPr>
        <w:spacing w:after="0" w:line="1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original actions in China based on United States or other foreign laws against us, our management named in the prospectus.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conduct substantially all of our operations in China and substantially all of our assets are located in China. In addition, all of our senior executive officers reside within China. As a result, it may not be possible to effect service of process within the United States or elsewhere outside China upon our senior executive officers, including with respect to matters arising under U.S. federal securities laws or applicable state securities laws. Moreover, our PRC counsel has advised us that the PRC does not have treaties with the United States or many other countries providing for the reciprocal recognition and enforcement of judgment of courts.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control of currency conversion may affect the value of your investment.</w:t>
      </w:r>
    </w:p>
    <w:p>
      <w:pPr>
        <w:spacing w:after="0" w:line="15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PRC government imposes controls on the convertibility of the RMB into foreign currencies and, in certain cases, the remittance of currency out of China. We receive substantially all of our revenues in RMB. Under our current corporate structure, our income is primarily derived from dividend payments from our PRC subsidiaries. Shortages in the availability of foreign currency may restrict the ability of our PRC subsidiaries and our affiliated entity to remit sufficient foreign currency to pay dividends or other payments to us, or otherwise satisfy their foreign currency denominated obligations. Under existing PRC foreign exchange regulations, payments of current account items, including profit distributions, interest payments and expenditures from trade- related transactions, can be made in foreign currencies without prior approval from SAFE by complying with certain procedural requirements. However, approval from appropriate government authorities is required where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currency to satisfy our currency demands, we may not be able to pay dividends in foreign currencies to our shareholders, including holders of our ADSs.</w:t>
      </w:r>
    </w:p>
    <w:p>
      <w:pPr>
        <w:spacing w:after="0" w:line="1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Recent PRC regulations relating to the establishment of offshore special purpose companies by PRC residents may subject our PRC resident shareholders to personal liability and limit our ability to inject capital into our PRC subsidiaries, limit our PRC subsidiaries’ ability to distribute profits to us, or otherwise adversely affect us.</w:t>
      </w:r>
    </w:p>
    <w:p>
      <w:pPr>
        <w:spacing w:after="0" w:line="12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SAFE issued a public notice in October 2005, or the SAFE notice, requiring PRC residents to register with the local SAFE branch before establishing or controlling any company outside of China for the purpose of capital financing with assets or equities of PRC companies, referred to in the notice as an “offshore special purpose company.” PRC residents that are shareholders of offshore special purpose companies established before November 1, 2005 were required to register with the local SAFE branch before March 31, 2006. Our current beneficial owners who are PRC residents have registered with the local SAFE branch as required under the SAFE notice. The failure of these beneficial owners to timely amend their SAFE registrations pursuant to the SAFE notice or the failure of future beneficial owners of our company who are PRC residents to comply with the registration procedures set forth in the SAFE notice may subject such beneficial owners to fines and legal sanctions and may also limit our ability to contribute additional capital into our PRC subsidiaries, limit our PRC subsidiaries’ ability to distribute dividends to our company or otherwise adversely affect our business.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the value of the RMB may have a material adverse effect on your investment.</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value of the RMB against the U.S. dollar and other currencies may fluctuate and is affected by, among other things, changes in political and economic conditions. On July 21, 2005, the PRC government changed its decade-old policy of pegging the value of the RMB to the U.S. dollar. Under the new policy, the RMB is permitted to fluctuate within a narrow and managed band against a basket of certain foreign currencies. This change in policy has resulted in an approximately 3.7% appreciation of the RMB against the U.S. dollar between July 21, 2005 and August 21, 2006. While the international reaction to the RMB revaluation has generally been positive, there remains significant international pressure on the PRC government to adopt an even more flexible currency policy, which could result in a further and more significant appreciation of the RMB against the U.S. dollar. Our revenues and costs are mostly denominated in the RMB, and a significant portion of our financial assets are also denominated in RMB. We rely entirely on dividends and other fees paid to us by our subsidiaries and affiliated entities in China. Any significant revaluation of the RMB may materially and adversely affect our cash flows, revenues, earnings and financial position, and the value of, and any dividends payable on, our ADSs in U.S. dollars. For example, a further appreciation of the RMB against the U.S. dollar would make any new RMB-denominated investments or expenditures more costly to us, to the extent that we need to convert U.S. dollars into the RMB for such purposes. An appreciation of the RMB against the U.S. dollar would also result in foreign currency translation losses for financial reporting purposes when we translate our U.S. dollar denominated financial assets into the RMB, as the RMB is our reporting currency.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If any of our PRC subsidiaries, affiliated entities and their subsidiaries becomes the subject of a bankruptcy or liquidation proceeding, we may lose the ability to use and enjoy those assets, which could reduce the size of our operations and materially and adversely affect our business, ability to generate revenue and the market price of our ADSs.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comply with PRC laws and regulations relating to foreign ownership restrictions in the education business, we currently conduct our operations in China through contractual arrangements with New Oriental China, its shareholders and subsidiaries. As part of these arrangements, New Oriental China and its subsidiaries hold some of the assets that are important to the operation of our business. If any of these entities goes bankrupt and all or part of their assets become subject to liens or rights of third-party creditors, we may be unable to continue some or all of our business activities, which could materially and adversely affect our business, financial condition and results of operations. If any of New Oriental China and its subsidiaries undergoes a voluntary or involuntary liquidation proceeding, its shareholders or unrelated third-party creditors may claim rights to some or all of these assets, thereby hindering our ability to operate our business, which could materially and adversely affect our business, our ability to generate revenue and the market price of our ADSs.</w:t>
      </w:r>
    </w:p>
    <w:p>
      <w:pPr>
        <w:spacing w:after="0" w:line="10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b w:val="1"/>
          <w:bCs w:val="1"/>
          <w:i w:val="1"/>
          <w:iCs w:val="1"/>
          <w:color w:val="auto"/>
        </w:rPr>
        <w:t>The approval of the Chinese Securities Regulatory Commission may be required in connection with this offering under a recently adopted PRC regulation; if the timing of this offering is delayed and our ADSs do not commence trading prior to the effective date of the regulation, we may be required to obtain CSRC approval for this offering and we cannot currently predict the consequences of any failure to obtain such approval.</w:t>
      </w:r>
    </w:p>
    <w:p>
      <w:pPr>
        <w:spacing w:after="0" w:line="9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On August 8, 2006, six PRC regulatory agencies, including the Chinese Securities Regulatory Commission, or CSRC, promulgated a regulation that will become effective on September 8, 2006. This regulation, among other things, purports to require offshore special purpose vehicles, or SPVs, formed for listing purposes through acquisitions of PRC domestic companies and controlled by PRC individuals, such as our company, to obtain the approval of the CSRC prior to publicly listing their securities on an overseas stock exchange. While the application of this new regulation is not yet clear, we believe, based on the advice of Tian Yuan Law Firm, our PRC counsel, that CSRC approval is not required if trading of our ADSs commences prior to the effective date of the regulation. Although the CSRC is expected to promulgate formal implementing rules and/or regulations and possibly other clarifications, the procedures, criteria and timing for obtaining any required CSRC approval have not been established and it is unclear when these will be established. Therefore, if the timing of this offering is delayed and our ADSs do not commence trading prior to the effective date of the regulation, we may be required to obtain CSRC approval for this offering and we cannot currently predict the criteria, timing or procedures for obtaining the CSRC approval or the consequences of any failure to obtain such approval.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There has been no public market for our common shares or ADSs prior to this offering, and you may not be able to resell our ADSs at or above the price you paid, or at all.</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Prior to this initial public offering, there has been no public market for our common shares or ADSs. We have applied for the listing of our ADSs on the New York Stock Exchange. Our common shares will not be listed on any exchange or quoted for trading on any over-the-counter trading system. If an active trading market for our ADSs does not develop after this offering, the market price and liquidity of our ADSs will be materially and adversely affected.</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initial public offering price for our ADSs will be determined by negotiations between us and the underwriters and may bear no relationship to the market price for our ADSs after the initial public offering. An active trading market for our ADSs may not develop and the market price of our ADSs may decline below the initial public offering price.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market price for our ADSs may be volatile and subject to wide fluctuations in response to factors such as actual or anticipated fluctuations in our quarterly operating results, changes in financial estimates by securities research analysts, changes in the economic performance or market valuations of other education companies, announcements by us or our competitions of material acquisitions, strategic partnerships, joint ventures or capital commitments, fluctuations of exchange rates between RMB and the U.S. dollar, intellectual property litigation, release of lock-up or other transfer restrictions on our outstanding shares or ADSs, and economic or political conditions in China. In addition, the performance, and fluctuation in market prices, of other companies with business operations located mainly in China that have listed their securities in the United States may affect the volatility in the price of and trading volumes of our ADSs. Furthermore, the securities market has from time to time experienced significant price and volume fluctuations that are not related to the operating performance of particular companies. These market fluctuations may also materially and adversely affect the market price of our ADSs.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ADSs purchased.</w:t>
      </w:r>
    </w:p>
    <w:p>
      <w:pPr>
        <w:spacing w:after="0" w:line="15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initial public offering price per ADS will be substantially higher than the net tangible book value per ADS prior to the offering. Consequently, when you purchase ADSs in the offering at the assumed initial public offering price, you will incur immediate dilution of US$8.52 per ADS. See “Dilution.”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additional capital, and the sale of additional ADSs or other equity securities could result in additional dilution to our shareholders.</w:t>
      </w:r>
    </w:p>
    <w:p>
      <w:pPr>
        <w:spacing w:after="0" w:line="18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believe that our current cash and cash equivalents, anticipated cash flow from operations and the net proceeds from this offering will be sufficient to meet our anticipated cash needs for the near future. We may, however, require additional cash resources to finance our continued growth or other future developments, including any investments or acquisitions we may decide to pursue. The amount and timing of such additional financing needs will vary principally depending on the timing of new school and learning center openings, investments and/or acquisitions, and the amount of cash flow from our operations. If our resources are insufficient to satisfy our cash requirements, we may seek to sell additional equity or debt securities or obtain a credit facility. The sale of additional equity securities could result in additional dilution to our shareholders. The incurrence of indebtedness would result in increased debt service obligations and could result in operating and financing covenants that would restrict our operations.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obtain additional capital on acceptable terms is subject to a variety of uncertainties, including:</w:t>
      </w:r>
    </w:p>
    <w:p>
      <w:pPr>
        <w:spacing w:after="0" w:line="158"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educational service providers;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of the U.S. and other capital markets in which we may seek to raise funds;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cash flows;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PRC governmental regulation of foreign investment in education in China;</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political and other conditions in China;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PRC governmental policies relating to foreign currency borrowings.</w:t>
      </w:r>
    </w:p>
    <w:p>
      <w:pPr>
        <w:spacing w:after="0" w:line="1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cannot assure you that financing will be available in amounts or on terms acceptable to us, if at all. If we fail to raise additional funds, we may need to sell debt or additional equity securities or to reduce our growth to a level that can be supported by our cash flow. Without additional capital, we may not be able to:</w:t>
      </w:r>
    </w:p>
    <w:p>
      <w:pPr>
        <w:spacing w:after="0" w:line="12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open additional schools and learning centers;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necessary technologies, products or businesses;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train and retain teachers and other employees;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our programs, services and products; or</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capital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actions are substantially controlled by our officers, directors, principal shareholders and affiliated entities.</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After this offering, our executive officers, directors, principal shareholders and their affiliated entities will beneficially own approximately 61.8% of our outstanding shares. These shareholders, if they acted together, could exert substantial influence over matters requiring approval by our shareholders, including electing directors and approving mergers or other business combination transactions and they may not act in the best interests of other minority shareholders. This concentration of ownership may also discourage, delay or prevent a change in control of our company, which could deprive our shareholders of an opportunity to receive a premium for their shares as part of a sale of our company and might reduce the price of our ADSs. These actions may be taken even if they are opposed by our other shareholders, including those who purchase shares in this offering.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or the perception of sales of our ADSs in the public market could cause the price of our ADSs to decline.</w:t>
      </w:r>
    </w:p>
    <w:p>
      <w:pPr>
        <w:spacing w:after="0" w:line="15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Sales of our ADSs or common shares in the public market after this offering, or the perception that these sales could occur, could cause the market price of our ADSs to decline. Upon completion of this offering, we will have 141,111,111 common shares outstanding, including 30,000,000 common shares represented by 7,500,000 ADSs, assuming the underwriters do not exercise the over-allotment option. All ADSs sold in this offering, other than the up to 320,533 ADSs sold in our directed share program, will be freely transferable without restriction or additional registration under the Securities Act of 1933, as amended, or the Securities Act. The remaining common shares outstanding after this offering will be available for sale, upon the expiration of the applicable lock-up period beginning from the date of this prospectus, subject to volume and other restrictions as applicable under Rule 144 and Rule 701 under the Securities Act. See “Shares Eligible for Future Sale” and “Underwriting” for a detailed description of the lock-up restrictions. Any or all of these shares may be released prior to expiration of the lock-up period at the discretion of the lead underwriters for this offering. To the extent shares are released before the expiration of the lock-up period and these shares are sold into the market, the market price of our ADSs could decline.</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certain holders of our common shares will have the right to cause us to register the sale of an aggregate of 99,704,285 shares under the Securities Act, subject to a 180-day lock-up period in connection with this offering. Registration of these shares under the Securities Act would result in these shares becoming freely tradable without restriction under the Securities Act immediately upon the effectiveness of the registration. Sales of these registered shares in the public market could cause the price of our ADSs to decline.</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You may not have the same voting rights as the holders of our common shares and may not receive voting materials in time to be able to exercise your right to vote.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Except as described in this prospectus and in the deposit agreement, holders of our ADSs will not be able to exercise voting rights attaching to the shares evidenced by our ADSs on an individual basis. Holders of our ADSs will appoint the depositary or its nominee as their representative to exercise the voting rights attaching to the shares represented by the ADSs. You may not receive voting materials in time to instruct the depositary to vote, and it is possible that you, or persons who hold their ADSs through brokers, dealers or other third parties, will not have the opportunity to exercise a right to vote. Upon our written request, the depositary will mail to you a shareholder meeting notice which contains, among other things, a statement as to the manner in which your voting instructions may be given, including an express indication that such instructions may be given or deemed given to the depositary to give a discretionary proxy to a person designated by us if no instructions are received by the depositary from you</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or before the response date established by the depositary. However, no voting instruction shall be deemed given and no such discretionary proxy shall be given with respect to any matter as to which we inform the depositary that (i) we do not wish such proxy given, (ii) substantial opposition exists, or (iii) such matter materially and adversely affects the rights of shareholders. See “Description of American Depositary Shares.”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participate in rights offerings and may experience dilution of your holdings as a result.</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Under the deposit agreement for the ADSs, the depositary will not offer those rights to ADS holders unless both the rights and the underlying securities to be distributed to ADS holders are either registered under the Securities Act, or exempt from registration under the Securities Act with respect to all holders of ADSs. We are under no obligation to file a registration statement with respect to any such rights or underlying securities or to endeavor to cause such a registration statement to be declared effective. In addition, we may not be able to take advantage of any exemptions from registration under the Securities Act. Accordingly, holders of our ADSs may be unable to participate in our rights offerings and may experience dilution in their holdings as a result.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5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 it advisable to do so because of any requirement of law or of any government or governmental body, or under any provision of the deposit agreement, or for any other reason.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58"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are incorporated in the Cayman Islands, and conduct substantially all of our operations in China through our wholly owned subsidiaries and affiliated entities in China. All of our officers reside outside the United States and some or all of the assets of those persons are located outside of the United States. As a result, it may be difficult or impossible for you to bring an action against us or against these individuals in the Cayman Islands or in China in the event that you believe that your rights have been infringed under the securities laws or otherwise. Even if you are successful in bringing an action of this kind, the respective laws of the Cayman Islands and China may render you unable to enforce a judgment against our assets or the assets of our directors and officers. There is no statutory recognition in the Cayman Islands of judgments obtained in the United States, although the courts of the Cayman Islands will generally recognize and enforce a non-penal judgment of a foreign court of competent jurisdiction without retrial on the merits. For more information regarding the relevant laws of the Cayman Islands and China, see “Enforceability of Civil Liabilities.”</w:t>
      </w:r>
    </w:p>
    <w:p>
      <w:pPr>
        <w:spacing w:after="0" w:line="10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We are a Cayman Islands company and, because judicial precedent regarding the rights of shareholders is more limited under Cayman Islands law than under U.S. law, you may have less protection of your shareholder rights than you would under U.S. law.</w:t>
      </w:r>
    </w:p>
    <w:p>
      <w:pPr>
        <w:spacing w:after="0" w:line="7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corporate affairs are governed by our memorandum and articles of association and by the Companies Law (2004 Revision) and common law of the Cayman Islands. The rights of shareholders to take legal action against our directors and us,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precedents in the United States. In particular, the Cayman Islands has a less developed body of securities laws as compared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United States, and provides significantly less protection to investors. In addition, Cayman Islands companies may not have standing to initiate a shareholder derivative action before the federal courts of the United States.</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through actions against our management, directors or major shareholders than would shareholders of a corporation incorporated in a jurisdiction in the United States.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will have considerable discretion as to the use of the net proceeds to be received by us from this offering.</w:t>
      </w:r>
    </w:p>
    <w:p>
      <w:pPr>
        <w:spacing w:after="0" w:line="15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not allocated the majority of the net proceeds to be received by us of this offering to any particular purpose. Rather, our management will have considerable discretion in the application of the net proceeds received by us. You will not have the opportunity, as part of your investment decision, to assess whether proceeds are being used appropriately. You must rely on the judgment of our management regarding the application of the net proceeds of this offering. The net proceeds may be used for corporate purposes that do not improve our efforts to maintain profitability or increase our share price. The net proceeds from this offering may be placed in investments that do not produce income or that lose value.</w:t>
      </w:r>
    </w:p>
    <w:p>
      <w:pPr>
        <w:spacing w:after="0" w:line="10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amended and restated articles of association contain anti-takeover provisions that could have a material adverse effect on the rights of holders of our common shares and ADSs.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the completion of this offering, we will adopt amended and restated articles of association that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common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common shares and ADSs may be materially and adversely affected.</w:t>
      </w:r>
    </w:p>
    <w:p>
      <w:pPr>
        <w:spacing w:after="0" w:line="10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U.S. holders of our ADSs or common shares.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do not expect to be considered a “passive foreign investment company,” or PFIC, for U.S. federal income tax purposes for our current taxable year ending May 31, 2007. However, the application of the PFIC rules is subject to ambiguity in several respects, and, in addition, we must make a separate determination each taxable year as to whether we are a PFIC (after the close of each taxable year). Accordingly, we cannot assure you that we will not be a PFIC for our current taxable year ending or any future taxable year. A non-U.S. corporation will be considered a PFIC for any taxable year if either (1) at least 75% of its gross income is passive income or (2) at least 50% of the value of its assets is attributable to assets that produce or are held for the production of passive income. The market value of our assets will be determined based on the market price of our ADSs and common shares, which is likely to fluctuate after this offering. In addition, the composition of our income and assets will be affected by how, and how quickly, we spend the cash we raise in this offering. If we were treated as a PFIC for any taxable year during which a U.S. person held an ADS or a common share, certain adverse U.S. federal income tax consequences could apply to such U.S. person. See “Taxation—United States Federal Income Taxation—Passive Foreign Investment Company.”</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contains forward-looking statements that involve risks and uncertainties. All statements other than statements of historical facts are forward-looking statements. The forward-looking statements are contained principally in the sections entitled “Prospectus Summary,” “Risk Factors,” “Recent Developments,” “Management’s Discussion and Analysis of Financial Condition and Results of Operations” and “Business.” These statements involve known and unknown risks, uncertainties and other factors that may cause our actual results, performance or achievements to be materially different from those expressed or implied by the forward-looking statements.</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You can identify these forward-looking statements by words or phrases such as “may,” “will,” “expect,” “is expected to,”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w:t>
      </w:r>
    </w:p>
    <w:p>
      <w:pPr>
        <w:spacing w:after="0" w:line="13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changes in our revenues and certain cost and expense items;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increase student enrollments and course fees and expand program, service and product offerings;</w:t>
      </w:r>
    </w:p>
    <w:p>
      <w:pPr>
        <w:spacing w:after="0" w:line="184" w:lineRule="exact"/>
        <w:rPr>
          <w:rFonts w:ascii="Arial" w:cs="Arial" w:eastAsia="Arial" w:hAnsi="Arial"/>
          <w:sz w:val="18"/>
          <w:szCs w:val="18"/>
          <w:color w:val="auto"/>
        </w:rPr>
      </w:pPr>
    </w:p>
    <w:p>
      <w:pPr>
        <w:ind w:left="780" w:right="7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in the language training, test preparation, primary and secondary education, educational content, software and other technology development and online education markets;</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our offering of new educational programs, services and products and the expansion of our geographic reach;</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expected increase in expenditures on education in China;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PRC laws, regulations and policies relating to private education and providers of private educational services.</w:t>
      </w:r>
    </w:p>
    <w:p>
      <w:pPr>
        <w:spacing w:after="0" w:line="18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You should read thoroughly this prospectus and the documents that we refer to herein with the understanding that our actual future results may be materially different from and/or worse than what we expect. We qualify all of our forward-looking statements by these cautionary statements. Other sections of this prospectus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31"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This prospectus also contains third-party data relating to the education market in China that includes projections based on a number of assumptions. The education market may not grow at the rates projected by market data, or at all. The failure of this market to grow at the projected rates may have a material adverse effect on our business and the market price of our ADSs. Furthermore, if any one or more of the assumptions underlying the market data turns out to be incorrect, actual results may differ from the projections based on these assumptions. You should not place undue reliance on these forward-looking statements.</w:t>
      </w:r>
    </w:p>
    <w:p>
      <w:pPr>
        <w:spacing w:after="0" w:line="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The forward-looking statements made in this prospectus relate only to events or information as of the date on which the statements are made in this prospectus. We undertake no obligation to update or revise any forward-looking statements, whether as a result of new information, future events or otherwise.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estimate that we will receive net proceeds from this offering of approximately US$80.7 million or approximately US$93.3 million if the underwriters exercise their option to purchase additional ADSs in full, after deducting underwriting discounts and commissions and the estimated offering expenses payable by us. These estimates are based upon an assumed initial offering price of US$12.00 per ADS, the midpoint of the range shown on the front cover page of this prospectus. Assuming the number of ADSs offered by us as set forth on the cover page of this prospectus remains the same, a US$1.00 increase (decrease) in the assumed initial public offering price of US$12.00 per ADS would increase (decrease) the net proceeds of this offering by US$7.0 million after deducting underwriting discounts and commissions and the estimated offering expenses payable by us.</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primary purposes of this offering are to create a public market for our common shares for the benefit of all shareholders, retain talented employees by providing them with equity incentives, obtain additional capital and repay the outstanding indebtedness under our loan agreements and corporate facility with commercial banks. The following table sets forth a summary of our outstanding indebtedness as of July 31, 2006:</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Date of</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Principal</w:t>
            </w:r>
          </w:p>
        </w:tc>
        <w:tc>
          <w:tcPr>
            <w:tcW w:w="3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74"/>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Bank Name</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Loan Initiation</w:t>
            </w: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Due Date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Loan</w:t>
            </w:r>
          </w:p>
        </w:tc>
        <w:tc>
          <w:tcPr>
            <w:tcW w:w="34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rPr>
              <w:t>(In RMB)</w:t>
            </w:r>
          </w:p>
        </w:tc>
        <w:tc>
          <w:tcPr>
            <w:tcW w:w="34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Minsheng Bank</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03/31/2005</w:t>
            </w:r>
          </w:p>
        </w:tc>
        <w:tc>
          <w:tcPr>
            <w:tcW w:w="1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03/31/2015</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Mortgage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103,651,683</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Communications</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10/10/2002</w:t>
            </w:r>
          </w:p>
        </w:tc>
        <w:tc>
          <w:tcPr>
            <w:tcW w:w="1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10/10/2006</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Mortgage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Communications</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12/03/2003</w:t>
            </w:r>
          </w:p>
        </w:tc>
        <w:tc>
          <w:tcPr>
            <w:tcW w:w="1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10/10/2006</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Guaranteed Loan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24,500,000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Beijing</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03/31/2006</w:t>
            </w:r>
          </w:p>
        </w:tc>
        <w:tc>
          <w:tcPr>
            <w:tcW w:w="1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03/30/2007</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Guaranteed Loan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incurred the RMB10 million short-term loan in 2006 to repay part of our existing loans and finance the construction of our school in Yangzhou.</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the net proceeds from this offering as follows:</w:t>
      </w:r>
    </w:p>
    <w:p>
      <w:pPr>
        <w:spacing w:after="0" w:line="7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US$18.5 million to repay all of our outstanding indebtedness;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 to US$20 million to expand our network of schools and learning centers and improve our existing facilities; and</w:t>
      </w:r>
    </w:p>
    <w:p>
      <w:pPr>
        <w:spacing w:after="0" w:line="103"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balance to fund working capital and for other general corporate purposes, which may include strategic acquisitions of businesses that could complement our existing capabilities and business.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not yet determined all of our anticipated expenditures and therefore cannot estimate the amounts to be used for each of the purposes discussed above. For a discussion of our strategies and business plan, see “Business—Our Strategy.” We do not currently have any agreements or understandings to make any material acquisitions of, or investments in, other businesses. To the extent that the net proceeds we receive from this offering are not immediately applied for the above purposes, we intend to invest our net proceeds in interest bearing bank deposits that may be withdrawn upon demand.</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utilizing the proceeds of this offering, as an offshore holding company, we are permitted, under PRC laws and regulations, to provide funding to our PRC subsidiaries only through loans or capital contributions and to other entities only through loans. Subject to satisfaction of applicable government registration and approval requirements, we may extend inter-company loans to our PRC subsidiaries and affiliated entities or make additional capital contributions to our PRC subsidiaries to fund their capital expenditures or working capital. We cannot assure you that we will be able to obtain these government registrations or approvals on a timely basis, if at all. See “Risk Factors—Risks Related to Our Corporate Structure—PRC regulation of loans and direct investment by offshore holding companies to PRC entities may delay or prevent us from using the proceeds of this offering to make loans or additional capital contributions to our PRC operating subsidiaries and affiliated entities, which could adversely and materially affect our liquidity and our ability to fund and expand our business.”</w:t>
      </w:r>
    </w:p>
    <w:p>
      <w:pPr>
        <w:spacing w:after="0" w:line="10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declared an annual dividend of RMB0.05, RMB0.27 and RMB0.65 per share, respectively, to holders of our common shares in our fiscal years 2003, 2004 and 2005. We declared an annual dividend of RMB0.59 per share to holders of our common shares and preferred shares in our fiscal year 2006. We have no present plan to declare any dividends on our shares in the near future. We currently intend to retain most, if not all, of our available funds and any future earnings to operate and expand our business.</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a holding company incorporated in the Cayman Islands. We rely on dividends from our subsidiaries in China and consulting, license and other fees paid to us by New Oriental China and its subsidiaries. Current PRC regulations permit our subsidiaries to pay dividends to us only out of their accumulated profits, if any, determined in accordance with PRC accounting standards and regulations. In addition, each of our subsidiaries and affiliated entities in China are required to set aside at least 10% of its after-tax profits each year, if any, to fund a statutory reserve until such reserve reaches 50% of its registered capital, and to further set aside a portion of its after-tax profits to fund the employee welfare fund at the discretion of the board. These reserves may not be distributed as cash dividends. Further, if our subsidiaries and affiliated entities in China incur debt on their own behalf in the future, the instruments governing the debt may restrict their ability to pay dividends or make other payments to us. Moreover, New Oriental China owns many private schools in China. At the end of each fiscal year, every private school in China is required to allocate a certain amount out of its annual net income, if any, to its development fund for the construction or maintenance of the school or procurement or upgrade of educational equipment. In the case of a private school that requires reasonable returns, this amount shall be no less than 25% of the annual net income of the school, while in the case of a private school that does not require reasonable returns, this amount shall be equivalent to no less than 25% of the annual increase in the net assets of the school, if any. See “Risk Factors—Risks Related to Our Corporate Structure—New Oriental China and its subsidiaries may be subject to significant limitations on their ability to operate private schools or make payments to related parties or otherwise be materially and adversely affected by changes in PRC laws and regulations.”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board of directors has complete discretion regarding whether to declare and distribute dividends, subject to the approval of our shareholders.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common shares, subject to the terms of the deposit agreement, including the fees and expenses payable thereunder. See “Description of American Depositary Shares.” Cash dividends on our common shares, if any, will be paid in U.S. dollars.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May 31, 2006:</w:t>
      </w:r>
    </w:p>
    <w:p>
      <w:pPr>
        <w:spacing w:after="0" w:line="158"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84"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 pro forma basis to reflect the automatic conversion of all of our outstanding Series A convertible preferred shares into 11,111,111 common shares immediately prior to the closing of this offering; and</w:t>
      </w:r>
    </w:p>
    <w:p>
      <w:pPr>
        <w:spacing w:after="0" w:line="118" w:lineRule="exact"/>
        <w:rPr>
          <w:rFonts w:ascii="Arial" w:cs="Arial" w:eastAsia="Arial" w:hAnsi="Arial"/>
          <w:sz w:val="18"/>
          <w:szCs w:val="18"/>
          <w:color w:val="auto"/>
        </w:rPr>
      </w:pPr>
    </w:p>
    <w:p>
      <w:pPr>
        <w:ind w:left="780" w:right="100" w:hanging="326"/>
        <w:spacing w:after="0" w:line="298"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a pro forma as adjusted basis to reflect the automatic conversion of all of our outstanding Series A convertible preferred shares into 11,111,111 common shares immediately prior to the closing of this offering, the repayment of our short-term borrowings of US$4.4 million and long-term debt of US$18.7 million, and the sale of 30,000,000 common shares in the form of ADSs by us in this offering at an assumed initial public offering price of US$3.00 per share, after deducting the underwriting discounts and commissions and estimated offering expenses payable by us.</w:t>
      </w:r>
    </w:p>
    <w:p>
      <w:pPr>
        <w:spacing w:after="0" w:line="99"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6"/>
          </w:tcPr>
          <w:p>
            <w:pPr>
              <w:ind w:left="220"/>
              <w:spacing w:after="0"/>
              <w:rPr>
                <w:sz w:val="20"/>
                <w:szCs w:val="20"/>
                <w:color w:val="auto"/>
              </w:rPr>
            </w:pPr>
            <w:r>
              <w:rPr>
                <w:rFonts w:ascii="Arial" w:cs="Arial" w:eastAsia="Arial" w:hAnsi="Arial"/>
                <w:sz w:val="14"/>
                <w:szCs w:val="14"/>
                <w:b w:val="1"/>
                <w:bCs w:val="1"/>
                <w:color w:val="auto"/>
              </w:rPr>
              <w:t>As of May 31, 2006</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(1)</w:t>
            </w:r>
          </w:p>
        </w:tc>
        <w:tc>
          <w:tcPr>
            <w:tcW w:w="1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266"/>
        </w:trPr>
        <w:tc>
          <w:tcPr>
            <w:tcW w:w="6360" w:type="dxa"/>
            <w:vAlign w:val="bottom"/>
            <w:gridSpan w:val="4"/>
          </w:tcPr>
          <w:p>
            <w:pPr>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Actual</w:t>
            </w:r>
          </w:p>
        </w:tc>
        <w:tc>
          <w:tcPr>
            <w:tcW w:w="1740" w:type="dxa"/>
            <w:vAlign w:val="bottom"/>
            <w:gridSpan w:val="6"/>
            <w:vMerge w:val="continue"/>
          </w:tcPr>
          <w:p>
            <w:pPr>
              <w:spacing w:after="0"/>
              <w:rPr>
                <w:sz w:val="23"/>
                <w:szCs w:val="23"/>
                <w:color w:val="auto"/>
              </w:rPr>
            </w:pP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46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Borders>
              <w:top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(unaudited)</w:t>
            </w:r>
          </w:p>
        </w:tc>
        <w:tc>
          <w:tcPr>
            <w:tcW w:w="300" w:type="dxa"/>
            <w:vAlign w:val="bottom"/>
            <w:gridSpan w:val="3"/>
          </w:tcPr>
          <w:p>
            <w:pPr>
              <w:spacing w:after="0"/>
              <w:rPr>
                <w:sz w:val="20"/>
                <w:szCs w:val="20"/>
                <w:color w:val="auto"/>
              </w:rPr>
            </w:pPr>
          </w:p>
        </w:tc>
        <w:tc>
          <w:tcPr>
            <w:tcW w:w="15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US$</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880" w:type="dxa"/>
            <w:vAlign w:val="bottom"/>
            <w:gridSpan w:val="4"/>
          </w:tcPr>
          <w:p>
            <w:pPr>
              <w:ind w:left="180"/>
              <w:spacing w:after="0"/>
              <w:rPr>
                <w:sz w:val="20"/>
                <w:szCs w:val="20"/>
                <w:color w:val="auto"/>
              </w:rPr>
            </w:pPr>
            <w:r>
              <w:rPr>
                <w:rFonts w:ascii="Arial" w:cs="Arial" w:eastAsia="Arial" w:hAnsi="Arial"/>
                <w:sz w:val="14"/>
                <w:szCs w:val="14"/>
                <w:b w:val="1"/>
                <w:bCs w:val="1"/>
                <w:color w:val="auto"/>
              </w:rPr>
              <w:t>US$</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Short-term borrowings</w:t>
            </w:r>
            <w:r>
              <w:rPr>
                <w:rFonts w:ascii="Arial" w:cs="Arial" w:eastAsia="Arial" w:hAnsi="Arial"/>
                <w:sz w:val="22"/>
                <w:szCs w:val="22"/>
                <w:color w:val="auto"/>
                <w:vertAlign w:val="superscript"/>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$ 4,365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$ 4,365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line="217" w:lineRule="exact"/>
              <w:rPr>
                <w:sz w:val="20"/>
                <w:szCs w:val="20"/>
                <w:color w:val="auto"/>
              </w:rPr>
            </w:pPr>
            <w:r>
              <w:rPr>
                <w:rFonts w:ascii="Arial" w:cs="Arial" w:eastAsia="Arial" w:hAnsi="Arial"/>
                <w:sz w:val="18"/>
                <w:szCs w:val="18"/>
                <w:color w:val="auto"/>
              </w:rPr>
              <w:t>Current portion of long term debt</w:t>
            </w:r>
            <w:r>
              <w:rPr>
                <w:rFonts w:ascii="Arial" w:cs="Arial" w:eastAsia="Arial" w:hAnsi="Arial"/>
                <w:sz w:val="22"/>
                <w:szCs w:val="22"/>
                <w:color w:val="auto"/>
                <w:vertAlign w:val="superscript"/>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47,603</w:t>
            </w:r>
          </w:p>
        </w:tc>
        <w:tc>
          <w:tcPr>
            <w:tcW w:w="160" w:type="dxa"/>
            <w:vAlign w:val="bottom"/>
          </w:tcPr>
          <w:p>
            <w:pPr>
              <w:spacing w:after="0"/>
              <w:rPr>
                <w:sz w:val="18"/>
                <w:szCs w:val="18"/>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color w:val="auto"/>
              </w:rPr>
              <w:t>5,936</w:t>
            </w:r>
          </w:p>
        </w:tc>
        <w:tc>
          <w:tcPr>
            <w:tcW w:w="580" w:type="dxa"/>
            <w:vAlign w:val="bottom"/>
          </w:tcPr>
          <w:p>
            <w:pPr>
              <w:jc w:val="right"/>
              <w:spacing w:after="0"/>
              <w:rPr>
                <w:sz w:val="20"/>
                <w:szCs w:val="20"/>
                <w:color w:val="auto"/>
              </w:rPr>
            </w:pPr>
            <w:r>
              <w:rPr>
                <w:rFonts w:ascii="Arial" w:cs="Arial" w:eastAsia="Arial" w:hAnsi="Arial"/>
                <w:sz w:val="18"/>
                <w:szCs w:val="18"/>
                <w:color w:val="auto"/>
              </w:rPr>
              <w:t>47,603</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Long-term debt, less current portion</w:t>
            </w:r>
            <w:r>
              <w:rPr>
                <w:rFonts w:ascii="Arial" w:cs="Arial" w:eastAsia="Arial" w:hAnsi="Arial"/>
                <w:sz w:val="22"/>
                <w:szCs w:val="22"/>
                <w:color w:val="auto"/>
                <w:vertAlign w:val="superscript"/>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102,638</w:t>
            </w: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$12,800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102,638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Series A convertible preferred shares, (US$0.01 par value per share; 11,111,111 shares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2"/>
              </w:rPr>
              <w:t>authorized, 11,111,111 issued and outstanding and nil issued and outstanding on a</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 forma and pro forma as adjusted basis)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w w:val="98"/>
              </w:rPr>
              <w:t>Common shares, (US$0.01 par value per share, 150,000,000 shares authorized,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ind w:left="200"/>
              <w:spacing w:after="0"/>
              <w:rPr>
                <w:sz w:val="20"/>
                <w:szCs w:val="20"/>
                <w:color w:val="auto"/>
              </w:rPr>
            </w:pPr>
            <w:r>
              <w:rPr>
                <w:rFonts w:ascii="Arial" w:cs="Arial" w:eastAsia="Arial" w:hAnsi="Arial"/>
                <w:sz w:val="18"/>
                <w:szCs w:val="18"/>
                <w:color w:val="auto"/>
              </w:rPr>
              <w:t>100,000,000 shares issued and outstanding, 111,111,111 shares issued and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ind w:left="200"/>
              <w:spacing w:after="0"/>
              <w:rPr>
                <w:sz w:val="20"/>
                <w:szCs w:val="20"/>
                <w:color w:val="auto"/>
              </w:rPr>
            </w:pPr>
            <w:r>
              <w:rPr>
                <w:rFonts w:ascii="Arial" w:cs="Arial" w:eastAsia="Arial" w:hAnsi="Arial"/>
                <w:sz w:val="18"/>
                <w:szCs w:val="18"/>
                <w:color w:val="auto"/>
                <w:w w:val="92"/>
              </w:rPr>
              <w:t>outstanding on a pro forma basis and 141,111,111 issued and outstanding on a pro</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tcPr>
          <w:p>
            <w:pPr>
              <w:ind w:left="200"/>
              <w:spacing w:after="0"/>
              <w:rPr>
                <w:sz w:val="20"/>
                <w:szCs w:val="20"/>
                <w:color w:val="auto"/>
              </w:rPr>
            </w:pPr>
            <w:r>
              <w:rPr>
                <w:rFonts w:ascii="Arial" w:cs="Arial" w:eastAsia="Arial" w:hAnsi="Arial"/>
                <w:sz w:val="18"/>
                <w:szCs w:val="18"/>
                <w:color w:val="auto"/>
              </w:rPr>
              <w:t>forma as adjusted basis)</w:t>
            </w:r>
          </w:p>
        </w:tc>
        <w:tc>
          <w:tcPr>
            <w:tcW w:w="580" w:type="dxa"/>
            <w:vAlign w:val="bottom"/>
          </w:tcPr>
          <w:p>
            <w:pPr>
              <w:jc w:val="right"/>
              <w:spacing w:after="0"/>
              <w:rPr>
                <w:sz w:val="20"/>
                <w:szCs w:val="20"/>
                <w:color w:val="auto"/>
              </w:rPr>
            </w:pPr>
            <w:r>
              <w:rPr>
                <w:rFonts w:ascii="Arial" w:cs="Arial" w:eastAsia="Arial" w:hAnsi="Arial"/>
                <w:sz w:val="18"/>
                <w:szCs w:val="18"/>
                <w:color w:val="auto"/>
              </w:rPr>
              <w:t>8,277</w:t>
            </w:r>
          </w:p>
        </w:tc>
        <w:tc>
          <w:tcPr>
            <w:tcW w:w="160" w:type="dxa"/>
            <w:vAlign w:val="bottom"/>
          </w:tcPr>
          <w:p>
            <w:pPr>
              <w:spacing w:after="0"/>
              <w:rPr>
                <w:sz w:val="19"/>
                <w:szCs w:val="19"/>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color w:val="auto"/>
              </w:rPr>
              <w:t>1,032</w:t>
            </w:r>
          </w:p>
        </w:tc>
        <w:tc>
          <w:tcPr>
            <w:tcW w:w="580" w:type="dxa"/>
            <w:vAlign w:val="bottom"/>
          </w:tcPr>
          <w:p>
            <w:pPr>
              <w:jc w:val="right"/>
              <w:spacing w:after="0"/>
              <w:rPr>
                <w:sz w:val="20"/>
                <w:szCs w:val="20"/>
                <w:color w:val="auto"/>
              </w:rPr>
            </w:pPr>
            <w:r>
              <w:rPr>
                <w:rFonts w:ascii="Arial" w:cs="Arial" w:eastAsia="Arial" w:hAnsi="Arial"/>
                <w:sz w:val="18"/>
                <w:szCs w:val="18"/>
                <w:color w:val="auto"/>
              </w:rPr>
              <w:t>9,197</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11,602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309,519</w:t>
            </w: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38,599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309,519</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769,198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202,871</w:t>
            </w:r>
          </w:p>
        </w:tc>
        <w:tc>
          <w:tcPr>
            <w:tcW w:w="160" w:type="dxa"/>
            <w:vAlign w:val="bottom"/>
          </w:tcPr>
          <w:p>
            <w:pPr>
              <w:spacing w:after="0"/>
              <w:rPr>
                <w:sz w:val="18"/>
                <w:szCs w:val="18"/>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color w:val="auto"/>
              </w:rPr>
              <w:t>25,300</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202,871</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202,871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Total shareholders’ equity</w:t>
            </w:r>
            <w:r>
              <w:rPr>
                <w:rFonts w:ascii="Arial" w:cs="Arial" w:eastAsia="Arial" w:hAnsi="Arial"/>
                <w:sz w:val="22"/>
                <w:szCs w:val="22"/>
                <w:color w:val="auto"/>
                <w:vertAlign w:val="superscript"/>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521,506</w:t>
            </w: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65,035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521,506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983,590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Total capitalization</w:t>
            </w:r>
            <w:r>
              <w:rPr>
                <w:rFonts w:ascii="Arial" w:cs="Arial" w:eastAsia="Arial" w:hAnsi="Arial"/>
                <w:sz w:val="22"/>
                <w:szCs w:val="22"/>
                <w:color w:val="auto"/>
                <w:vertAlign w:val="superscript"/>
              </w:rPr>
              <w:t>(4)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706,747</w:t>
            </w: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$88,136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706,747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$88,136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983,590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$122,660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-172720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-172720</wp:posOffset>
            </wp:positionV>
            <wp:extent cx="7499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-172720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-172720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-172720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-172720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-172720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-172720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-172720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 forma information discussed above is illustrative only.</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 of our short-term borrowings and long-term debt is guaranteed by a third party.</w:t>
      </w:r>
    </w:p>
    <w:p>
      <w:pPr>
        <w:spacing w:after="0" w:line="9" w:lineRule="exact"/>
        <w:rPr>
          <w:rFonts w:ascii="Arial" w:cs="Arial" w:eastAsia="Arial" w:hAnsi="Arial"/>
          <w:sz w:val="18"/>
          <w:szCs w:val="18"/>
          <w:color w:val="auto"/>
        </w:rPr>
      </w:pPr>
    </w:p>
    <w:p>
      <w:pPr>
        <w:ind w:left="340" w:right="80" w:hanging="332"/>
        <w:spacing w:after="0" w:line="281"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Assuming the number of ADSs offered by us as set forth on the cover page of this prospectus remains the same, and after deduction of underwriting discounts and commissions and the estimated offering expenses payable by us, an US$1.00 increase (decrease) in the assumed initial public offering price of US$12.00 per ADS would increase (decrease) each of additional paid-in capital, total shareholders’ equity and total capitalization by US$7.0 million.</w:t>
      </w:r>
    </w:p>
    <w:p>
      <w:pPr>
        <w:spacing w:after="0" w:line="2" w:lineRule="exact"/>
        <w:rPr>
          <w:rFonts w:ascii="Arial" w:cs="Arial" w:eastAsia="Arial" w:hAnsi="Arial"/>
          <w:sz w:val="16"/>
          <w:szCs w:val="16"/>
          <w:color w:val="auto"/>
        </w:rPr>
      </w:pPr>
    </w:p>
    <w:p>
      <w:pPr>
        <w:ind w:left="340" w:right="140" w:hanging="332"/>
        <w:spacing w:after="0" w:line="32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Total capitalization includes long-term borrowings (less current portion) and total shareholders’ equity. As of May 31, 2006, on an actual basis and on a pro forma basis, our short-term debt was US$4.4 million and the current portion of our long-term borrowings was US$5.9 million.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Our net tangible book value as of May 31, 2006 was approximately US$0.65 per common share, and US$2.60 per ADS. Net tangible book value per common share represents the amount of total tangible assets, minus the amount of total liabilities, divided by the total number of common shares outstanding. Dilution is determined by subtracting net tangible book value per common share from the assumed public offering price per common share.</w:t>
      </w:r>
    </w:p>
    <w:p>
      <w:pPr>
        <w:spacing w:after="0" w:line="9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Without taking into account any other changes in such net tangible book value after May 31, 2006, other than to give effect to (i) the conversion of all of our preferred shares into common shares, which will occur immediately prior to the closing of this offering, (ii) the repayment of our short-term borrowings of US$4.4 million and long-term debt of US$18.7 million and (iii) our sale of 7,500,000 ADSs offered in this offering, at an assumed initial public offering price of US$12.00 per ADS, the midpoint of the estimated public offering price range, and after deduction of underwriting discounts and commissions and estimated offering expenses (assuming the over-allotment option is not exercised), our pro forma net tangible book value at May 31, 2006 would have been US$0.87 per outstanding common share, including common shares underlying our outstanding ADSs, or US$3.48 per ADS. This represents an immediate increase in net tangible book value of US$0.22 per common share, or US$0.88 per ADS, to purchasers of ADSs in this offering.</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the dilution on a per common share basis assuming that the initial public offering price per common share is US$3.00 and all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ADSs are exchanged for common shares: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w w:val="93"/>
              </w:rPr>
              <w:t>Assumed initial public offering price per common share before deduction of underwriting discounts and commissions and estimated offering</w:t>
            </w:r>
          </w:p>
        </w:tc>
        <w:tc>
          <w:tcPr>
            <w:tcW w:w="1080" w:type="dxa"/>
            <w:vAlign w:val="bottom"/>
            <w:shd w:val="clear" w:color="auto" w:fill="CCEEFF"/>
          </w:tcPr>
          <w:p>
            <w:pPr>
              <w:spacing w:after="0"/>
              <w:rPr>
                <w:sz w:val="18"/>
                <w:szCs w:val="18"/>
                <w:color w:val="auto"/>
              </w:rPr>
            </w:pPr>
          </w:p>
        </w:tc>
      </w:tr>
      <w:tr>
        <w:trPr>
          <w:trHeight w:val="224"/>
        </w:trPr>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US$3.00</w:t>
            </w: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Pro Forma net tangible book value per common share</w:t>
            </w:r>
          </w:p>
        </w:tc>
        <w:tc>
          <w:tcPr>
            <w:tcW w:w="1080" w:type="dxa"/>
            <w:vAlign w:val="bottom"/>
          </w:tcPr>
          <w:p>
            <w:pPr>
              <w:ind w:left="440"/>
              <w:spacing w:after="0"/>
              <w:rPr>
                <w:sz w:val="20"/>
                <w:szCs w:val="20"/>
                <w:color w:val="auto"/>
              </w:rPr>
            </w:pPr>
            <w:r>
              <w:rPr>
                <w:rFonts w:ascii="Arial" w:cs="Arial" w:eastAsia="Arial" w:hAnsi="Arial"/>
                <w:sz w:val="18"/>
                <w:szCs w:val="18"/>
                <w:color w:val="auto"/>
                <w:w w:val="88"/>
              </w:rPr>
              <w:t>US$0.87</w:t>
            </w: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Amount of dilution in net tangible book value per common share to new investors in the offering</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US$2.13</w:t>
            </w:r>
          </w:p>
        </w:tc>
      </w:tr>
      <w:tr>
        <w:trPr>
          <w:trHeight w:val="222"/>
        </w:trPr>
        <w:tc>
          <w:tcPr>
            <w:tcW w:w="10340" w:type="dxa"/>
            <w:vAlign w:val="bottom"/>
          </w:tcPr>
          <w:p>
            <w:pPr>
              <w:spacing w:after="0"/>
              <w:rPr>
                <w:sz w:val="20"/>
                <w:szCs w:val="20"/>
                <w:color w:val="auto"/>
              </w:rPr>
            </w:pPr>
            <w:r>
              <w:rPr>
                <w:rFonts w:ascii="Arial" w:cs="Arial" w:eastAsia="Arial" w:hAnsi="Arial"/>
                <w:sz w:val="18"/>
                <w:szCs w:val="18"/>
                <w:color w:val="auto"/>
              </w:rPr>
              <w:t>Amount of dilution in net tangible book value per ADS to new investors in the offering</w:t>
            </w:r>
          </w:p>
        </w:tc>
        <w:tc>
          <w:tcPr>
            <w:tcW w:w="1080" w:type="dxa"/>
            <w:vAlign w:val="bottom"/>
          </w:tcPr>
          <w:p>
            <w:pPr>
              <w:ind w:left="440"/>
              <w:spacing w:after="0"/>
              <w:rPr>
                <w:sz w:val="20"/>
                <w:szCs w:val="20"/>
                <w:color w:val="auto"/>
              </w:rPr>
            </w:pPr>
            <w:r>
              <w:rPr>
                <w:rFonts w:ascii="Arial" w:cs="Arial" w:eastAsia="Arial" w:hAnsi="Arial"/>
                <w:sz w:val="18"/>
                <w:szCs w:val="18"/>
                <w:color w:val="auto"/>
                <w:w w:val="88"/>
              </w:rPr>
              <w:t>US$8.52</w:t>
            </w:r>
          </w:p>
        </w:tc>
      </w:tr>
    </w:tbl>
    <w:p>
      <w:pPr>
        <w:spacing w:after="0" w:line="13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 US$1.00 increase (decrease) in the assumed public offering price of US$12.00 per ADS would increase (decrease) our pro forma net tangible book value after giving effect to the offering by US$7.0 million, the pro forma net tangible book value per common share and per ADS after giving effect to this offering by US$0.05 and US$0.20 per common share and per ADS, respectively, and the dilution in pro forma net tangible book value per common share and per ADS to new investors in this offering by US$2.33 and US$1.93 per common share and US$9.32 and US$7.72 per ADS, assuming no change to the number of ADSs offered by us as set forth on the cover page of this prospectus, and after deducting underwriting discounts and commissions and other offering expenses.</w:t>
      </w:r>
    </w:p>
    <w:p>
      <w:pPr>
        <w:spacing w:after="0" w:line="10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following table summarizes, on a pro forma basis as of May 31, 2006, the differences between the shareholders as of May 31, 2006 and the new investors with respect to the number of common shares purchased from us, the total consideration paid and the average price per common share paid at an assumed initial public offering price of US$3.00 per share before deducting estimated underwriting discounts and commissions and estimated offering expenses. The total number of common shares does not include 4,500,000 common shares issuable pursuant to the exercise of the over-allotment option granted to the underwriters. The pro forma information discussed above is illustrative only. Our net tangible book value following the completion of this offering is subject to adjustment based on the actual initial public offering price of our ADSs and other terms of this offering to be determined at pricing.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320" w:type="dxa"/>
            <w:vAlign w:val="bottom"/>
            <w:gridSpan w:val="5"/>
            <w:vMerge w:val="restart"/>
          </w:tcPr>
          <w:p>
            <w:pPr>
              <w:jc w:val="center"/>
              <w:ind w:right="560"/>
              <w:spacing w:after="0"/>
              <w:rPr>
                <w:sz w:val="20"/>
                <w:szCs w:val="20"/>
                <w:color w:val="auto"/>
              </w:rPr>
            </w:pPr>
            <w:r>
              <w:rPr>
                <w:rFonts w:ascii="Arial" w:cs="Arial" w:eastAsia="Arial" w:hAnsi="Arial"/>
                <w:sz w:val="14"/>
                <w:szCs w:val="14"/>
                <w:b w:val="1"/>
                <w:bCs w:val="1"/>
                <w:color w:val="auto"/>
                <w:w w:val="86"/>
              </w:rPr>
              <w:t>Common Shares</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5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320" w:type="dxa"/>
            <w:vAlign w:val="bottom"/>
            <w:gridSpan w:val="5"/>
            <w:vMerge w:val="continue"/>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5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88"/>
              </w:rPr>
              <w:t>Price Per</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30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82"/>
              </w:rPr>
              <w:t>Purchased</w:t>
            </w:r>
            <w:r>
              <w:rPr>
                <w:rFonts w:ascii="Arial" w:cs="Arial" w:eastAsia="Arial" w:hAnsi="Arial"/>
                <w:sz w:val="22"/>
                <w:szCs w:val="22"/>
                <w:b w:val="1"/>
                <w:bCs w:val="1"/>
                <w:color w:val="auto"/>
                <w:w w:val="82"/>
                <w:vertAlign w:val="superscript"/>
              </w:rPr>
              <w:t>(1)</w:t>
            </w:r>
          </w:p>
        </w:tc>
        <w:tc>
          <w:tcPr>
            <w:tcW w:w="4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86"/>
              </w:rPr>
              <w:t>Total Consideration</w:t>
            </w:r>
          </w:p>
        </w:tc>
        <w:tc>
          <w:tcPr>
            <w:tcW w:w="4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Share</w:t>
            </w: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7"/>
              </w:rPr>
              <w:t>ADS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300" w:type="dxa"/>
            <w:vAlign w:val="bottom"/>
            <w:gridSpan w:val="3"/>
          </w:tcPr>
          <w:p>
            <w:pPr>
              <w:ind w:left="200"/>
              <w:spacing w:after="0"/>
              <w:rPr>
                <w:sz w:val="20"/>
                <w:szCs w:val="20"/>
                <w:color w:val="auto"/>
              </w:rPr>
            </w:pPr>
            <w:r>
              <w:rPr>
                <w:rFonts w:ascii="Arial" w:cs="Arial" w:eastAsia="Arial" w:hAnsi="Arial"/>
                <w:sz w:val="14"/>
                <w:szCs w:val="14"/>
                <w:b w:val="1"/>
                <w:bCs w:val="1"/>
                <w:color w:val="auto"/>
              </w:rPr>
              <w:t>Number</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Percent</w:t>
            </w:r>
          </w:p>
        </w:tc>
        <w:tc>
          <w:tcPr>
            <w:tcW w:w="3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Percent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111,111,111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25,775,000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New investors</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30,000,000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21.3</w:t>
            </w:r>
          </w:p>
        </w:tc>
        <w:tc>
          <w:tcPr>
            <w:tcW w:w="58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90,000,000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77.7</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141,111,111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115,775,000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conversion of all preferred shares into common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discussion and tables above also assume no exercise of any outstanding stock options. As of May 31, 2006, there were 8,719,500 common shares issuable upon exercise of outstanding stock options at a weighted average exercise price of US$2.09 per share, and there were additional common shares available for future issuance upon the exercise of future grants under our 2006 share incentive plan. To the extent that any of these options are exercised, there will be further dilution to new investors.</w:t>
      </w:r>
    </w:p>
    <w:p>
      <w:pPr>
        <w:spacing w:after="0" w:line="1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240" w:top="459"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16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business is primarily conducted in China and substantially all of our revenues are denominated in RMB. However, periodic reports made to shareholders will be expressed in U.S. dollars using the then current exchange rates. This prospectus contains translations of RMB amounts into U.S. dollars at specific rates solely for the convenience of the reader. Unless otherwise noted, all translations from RMB to U.S. dollars and from U.S. dollars to RMB in this prospectus were made at a rate of RMB8.0188 to US$1.00. We make no representation that any RMB or U.S. dollar amounts could have been, or could be, converted into U.S. dollars or RMB, as the case may be, at any particular rate, the rates stated below, or at all. The PRC government imposes control over its foreign currency reserves in part through direct regulation of the conversion of RMB into foreign exchange and through restrictions on foreign trade. On August 21, 2006, the noon buying rate was RMB7.9698 to US$1.00.</w:t>
      </w:r>
    </w:p>
    <w:p>
      <w:pPr>
        <w:spacing w:after="0" w:line="105"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The following table sets forth information concerning exchange rates between the RMB and the U.S. dollar for the periods indicated. These rates are provided solely for your convenience and are not necessarily the exchange rates that we used in this prospectus or will use in the preparation of our periodic reports or any other information to be provided to you. The source of these rates is the Federal Reserve Bank of New York.</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7"/>
              </w:rPr>
              <w:t>Noon Buying Rate</w:t>
            </w:r>
          </w:p>
        </w:tc>
        <w:tc>
          <w:tcPr>
            <w:tcW w:w="600" w:type="dxa"/>
            <w:vAlign w:val="bottom"/>
          </w:tcPr>
          <w:p>
            <w:pPr>
              <w:spacing w:after="0"/>
              <w:rPr>
                <w:sz w:val="15"/>
                <w:szCs w:val="15"/>
                <w:color w:val="auto"/>
              </w:rPr>
            </w:pPr>
          </w:p>
        </w:tc>
      </w:tr>
      <w:tr>
        <w:trPr>
          <w:trHeight w:val="95"/>
        </w:trPr>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382"/>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7440" w:type="dxa"/>
            <w:vAlign w:val="bottom"/>
            <w:gridSpan w:val="2"/>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Period End</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Average</w:t>
            </w:r>
            <w:r>
              <w:rPr>
                <w:rFonts w:ascii="Arial" w:cs="Arial" w:eastAsia="Arial" w:hAnsi="Arial"/>
                <w:sz w:val="22"/>
                <w:szCs w:val="22"/>
                <w:b w:val="1"/>
                <w:bCs w:val="1"/>
                <w:color w:val="auto"/>
                <w:w w:val="90"/>
                <w:vertAlign w:val="superscript"/>
              </w:rPr>
              <w:t>(1)</w:t>
            </w:r>
          </w:p>
        </w:tc>
        <w:tc>
          <w:tcPr>
            <w:tcW w:w="200" w:type="dxa"/>
            <w:vAlign w:val="bottom"/>
          </w:tcPr>
          <w:p>
            <w:pPr>
              <w:spacing w:after="0"/>
              <w:rPr>
                <w:sz w:val="24"/>
                <w:szCs w:val="2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24"/>
                <w:szCs w:val="2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High</w:t>
            </w:r>
          </w:p>
        </w:tc>
      </w:tr>
      <w:tr>
        <w:trPr>
          <w:trHeight w:val="253"/>
        </w:trPr>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(RMB per US$1.00)</w:t>
            </w:r>
          </w:p>
        </w:tc>
        <w:tc>
          <w:tcPr>
            <w:tcW w:w="600" w:type="dxa"/>
            <w:vAlign w:val="bottom"/>
          </w:tcPr>
          <w:p>
            <w:pPr>
              <w:spacing w:after="0"/>
              <w:rPr>
                <w:sz w:val="22"/>
                <w:szCs w:val="22"/>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9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8.2766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8.2772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8.2786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2002</w:t>
            </w:r>
          </w:p>
        </w:tc>
        <w:tc>
          <w:tcPr>
            <w:tcW w:w="9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8.2800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8.2772</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8.2800</w:t>
            </w:r>
          </w:p>
        </w:tc>
        <w:tc>
          <w:tcPr>
            <w:tcW w:w="600" w:type="dxa"/>
            <w:vAlign w:val="bottom"/>
          </w:tcPr>
          <w:p>
            <w:pPr>
              <w:jc w:val="right"/>
              <w:spacing w:after="0"/>
              <w:rPr>
                <w:sz w:val="20"/>
                <w:szCs w:val="20"/>
                <w:color w:val="auto"/>
              </w:rPr>
            </w:pPr>
            <w:r>
              <w:rPr>
                <w:rFonts w:ascii="Arial" w:cs="Arial" w:eastAsia="Arial" w:hAnsi="Arial"/>
                <w:sz w:val="18"/>
                <w:szCs w:val="18"/>
                <w:color w:val="auto"/>
              </w:rPr>
              <w:t>8.2700</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9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8.2767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8.2771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2004</w:t>
            </w:r>
          </w:p>
        </w:tc>
        <w:tc>
          <w:tcPr>
            <w:tcW w:w="9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8.2765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8.2768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8.2774</w:t>
            </w:r>
          </w:p>
        </w:tc>
        <w:tc>
          <w:tcPr>
            <w:tcW w:w="600" w:type="dxa"/>
            <w:vAlign w:val="bottom"/>
          </w:tcPr>
          <w:p>
            <w:pPr>
              <w:jc w:val="right"/>
              <w:spacing w:after="0"/>
              <w:rPr>
                <w:sz w:val="20"/>
                <w:szCs w:val="20"/>
                <w:color w:val="auto"/>
              </w:rPr>
            </w:pPr>
            <w:r>
              <w:rPr>
                <w:rFonts w:ascii="Arial" w:cs="Arial" w:eastAsia="Arial" w:hAnsi="Arial"/>
                <w:sz w:val="18"/>
                <w:szCs w:val="18"/>
                <w:color w:val="auto"/>
              </w:rPr>
              <w:t>8.2764</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9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8.0702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8.1826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2006</w:t>
            </w:r>
          </w:p>
        </w:tc>
        <w:tc>
          <w:tcPr>
            <w:tcW w:w="9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February</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8.0415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8.0512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8.0616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8.0415</w:t>
            </w: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March</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8.0167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8.0350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8.0505</w:t>
            </w:r>
          </w:p>
        </w:tc>
        <w:tc>
          <w:tcPr>
            <w:tcW w:w="600" w:type="dxa"/>
            <w:vAlign w:val="bottom"/>
          </w:tcPr>
          <w:p>
            <w:pPr>
              <w:jc w:val="right"/>
              <w:spacing w:after="0"/>
              <w:rPr>
                <w:sz w:val="20"/>
                <w:szCs w:val="20"/>
                <w:color w:val="auto"/>
              </w:rPr>
            </w:pPr>
            <w:r>
              <w:rPr>
                <w:rFonts w:ascii="Arial" w:cs="Arial" w:eastAsia="Arial" w:hAnsi="Arial"/>
                <w:sz w:val="18"/>
                <w:szCs w:val="18"/>
                <w:color w:val="auto"/>
              </w:rPr>
              <w:t>8.0167</w:t>
            </w: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April</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8.0165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8.0143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8.0248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8.0040</w:t>
            </w: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May</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8.0215</w:t>
            </w:r>
          </w:p>
        </w:tc>
        <w:tc>
          <w:tcPr>
            <w:tcW w:w="22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8.0131</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8.0300</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8.0005</w:t>
            </w: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June</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7.9943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8.0042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8.0225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7.9943</w:t>
            </w: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July</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7.9690</w:t>
            </w:r>
          </w:p>
        </w:tc>
        <w:tc>
          <w:tcPr>
            <w:tcW w:w="22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7.9897</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8.0018</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7.9690</w:t>
            </w: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August (through August 21)</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7.9698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7.9760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8.0000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7.9680</w:t>
            </w:r>
          </w:p>
        </w:tc>
      </w:tr>
      <w:tr>
        <w:trPr>
          <w:trHeight w:val="108"/>
        </w:trPr>
        <w:tc>
          <w:tcPr>
            <w:tcW w:w="5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Annual averages are calculated from month-end rates. Monthly averages are calculated using the average of the daily rates during the relevant period.</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900" w:firstLine="3467"/>
        <w:spacing w:after="0" w:line="426" w:lineRule="auto"/>
        <w:rPr>
          <w:sz w:val="20"/>
          <w:szCs w:val="20"/>
          <w:color w:val="auto"/>
        </w:rPr>
      </w:pPr>
      <w:r>
        <w:rPr>
          <w:rFonts w:ascii="Arial" w:cs="Arial" w:eastAsia="Arial" w:hAnsi="Arial"/>
          <w:sz w:val="18"/>
          <w:szCs w:val="18"/>
          <w:b w:val="1"/>
          <w:bCs w:val="1"/>
          <w:color w:val="auto"/>
        </w:rPr>
        <w:t xml:space="preserve">ENFORCEABILITY OF CIVIL LIABILITIES </w:t>
      </w:r>
      <w:r>
        <w:rPr>
          <w:rFonts w:ascii="Arial" w:cs="Arial" w:eastAsia="Arial" w:hAnsi="Arial"/>
          <w:sz w:val="18"/>
          <w:szCs w:val="18"/>
          <w:color w:val="auto"/>
        </w:rPr>
        <w:t>We were incorporated in the Cayman Islands in order to enjoy the following benefits:</w:t>
      </w: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certain disadvantages accompany incorporation in the Cayman Islands. These disadvantages include:</w:t>
      </w:r>
    </w:p>
    <w:p>
      <w:pPr>
        <w:spacing w:after="0" w:line="158" w:lineRule="exact"/>
        <w:rPr>
          <w:sz w:val="20"/>
          <w:szCs w:val="20"/>
          <w:color w:val="auto"/>
        </w:rPr>
      </w:pPr>
    </w:p>
    <w:p>
      <w:pPr>
        <w:ind w:left="780" w:right="18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and</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Substantially all of our operations are conducted in China, and substantially all of our assets are located in China. A majority of our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9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appointed CT Corporation System, 111 Eighth Avenue, New York, NY 10011, as our agent upon whom process may be served in any action brought against us under the securities laws of the United States.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Conyers Dill &amp; Pearman, our counsel as to Cayman Islands law, and Tian Yuan Law Firm, our counsel as to PRC law, have advised us, respectively, that there is uncertainty as to whether the courts of the Cayman Islands and China, respectively, would:</w:t>
      </w:r>
    </w:p>
    <w:p>
      <w:pPr>
        <w:spacing w:after="0" w:line="118" w:lineRule="exact"/>
        <w:rPr>
          <w:sz w:val="20"/>
          <w:szCs w:val="20"/>
          <w:color w:val="auto"/>
        </w:rPr>
      </w:pPr>
    </w:p>
    <w:p>
      <w:pPr>
        <w:ind w:left="780" w:right="14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18"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Conyers Dill &amp; Pearman has further advised us that a final and conclusive judgment in the federal or state courts of the United States under which a sum of money is payable, other than a sum payable in respect of taxes, fines, penalties or similar charges, may be subject to enforcement proceedings as a debt in the courts of the Cayman Islands under the common law doctrine of obligation.</w:t>
      </w:r>
    </w:p>
    <w:p>
      <w:pPr>
        <w:spacing w:after="0" w:line="127"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Tian Yuan Law Firm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reciprocity between jurisdictions.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STRUCTURE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first school was established by Michael Minhong Yu, our Chairman and Chief Executive Officer, in Beijing, China in 1993 to offer TOEFL test preparation courses to college students. We established New Oriental China in 2001 to own all of our schools and learning centers. Since our inception, we have grown rapidly and transformed ourselves from primarily a language training and test preparation company to the largest provider of private educational services in China offering a wide range of educational programs, services and products to a varied student population throughout China.</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order to facilitate foreign investment in our company, we established our offshore holding company, New Oriental Education &amp; Technology Group Inc. as a company registered in the British Virgin Islands in August 2004. On January 25, 2006, we completed the process of changing our offshore holding company’s corporate domicile to the Cayman Islands and we are now a Cayman Islands company limited by shares.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Structure and Contractual Arrangements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Substantially all of our operations are conducted in China through our contractual arrangements with our consolidated affiliated entity, New Oriental China and its subsidiaries, as well as three wholly owned subsidiaries in China:</w:t>
      </w:r>
    </w:p>
    <w:p>
      <w:pPr>
        <w:spacing w:after="0" w:line="118" w:lineRule="exact"/>
        <w:rPr>
          <w:sz w:val="20"/>
          <w:szCs w:val="20"/>
          <w:color w:val="auto"/>
        </w:rPr>
      </w:pPr>
    </w:p>
    <w:p>
      <w:pPr>
        <w:ind w:left="780" w:right="24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Beijing Hewstone Technology Co., Ltd., or Beijing Hewstone, which primarily engages in the educational software development business and sub-licenses our trademarks to New Oriental China and its subsidiaries;</w:t>
      </w:r>
    </w:p>
    <w:p>
      <w:pPr>
        <w:spacing w:after="0" w:line="118"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Beijing Decision Education Co., Ltd., or Beijing Decision, which primarily engages in the business of providing educational technology services and educational management services; and</w:t>
      </w:r>
    </w:p>
    <w:p>
      <w:pPr>
        <w:spacing w:after="0" w:line="118"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Beijing Judgment Education &amp; Consulting Co., Ltd., or Beijing Judgment, a company that directly holds the real estate properties on which certain of our schools are located.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our corporate structure and the place of incorporation of each named entity as of May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105410</wp:posOffset>
            </wp:positionV>
            <wp:extent cx="4262120" cy="3533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62120"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PRC laws and regulations currently require any foreign entity that invests in the education business in China to be an educational institution with relevant experience in providing education outside China. Our Cayman Islands holding company is not an educational institution and does not provide educational services. Accordingly, our wholly owned subsidiaries in China, which are considered foreign-invested, are currently ineligible to apply for the required education licenses and permits in China. In addition, PRC laws and regulations prohibit foreign ownership of primary and middle schools for students in grades one to nine in China. We conduct our education business in China through contractual arrangements with New Oriental China and its subsidiaries and shareholders. New Oriental China is our consolidated affiliated entity directly owned by our founders and/or their respective affiliates.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New Oriental China’s subsidiaries hold the requisite licenses and permits necessary to conduct our education business and operate our schools, learning centers, bookstores as well as online education business in China. We have been and are expected to continue to be dependent on New Oriental China and its subsidiaries to operate our education business until we qualify for direct ownership of an education business in China under PRC laws and regulations and acquire New Oriental China and its subsidiaries as our direct, wholly owned subsidiaries. We have entered into contractual arrangements with New Oriental China and its subsidiaries and shareholders, which enable us to:</w:t>
      </w:r>
    </w:p>
    <w:p>
      <w:pPr>
        <w:spacing w:after="0" w:line="102"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exercise effective control over New Oriental China and its subsidiaries;</w:t>
      </w:r>
    </w:p>
    <w:p>
      <w:pPr>
        <w:spacing w:after="0" w:line="184"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receive a substantial portion of the economic benefits from New Oriental China and its subsidiaries in consideration for the services provided by our wholly owned subsidiaries in China;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8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in New Oriental China in each case when and to the extent permitted by PRC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Transfer Economic Benefits to Us</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Teaching Support Agreements. </w:t>
      </w:r>
      <w:r>
        <w:rPr>
          <w:rFonts w:ascii="Arial" w:cs="Arial" w:eastAsia="Arial" w:hAnsi="Arial"/>
          <w:sz w:val="16"/>
          <w:szCs w:val="16"/>
          <w:color w:val="auto"/>
        </w:rPr>
        <w:t>Pursuant to the teaching support agreements dated as of April 25, 2005 and their respective supplements entered into on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2006 between Beijing Decision and certain New Oriental schools, Beijing Decision agreed to provide exclusive teaching support services to each of these New Oriental schools for an annual fee based on the school’s revenues, subject to quarterly adjustments. The teaching support services include developing a curriculum for the school. Each of these agreements and their corresponding supplements has a term of five years from the signing date of the supplement. Each agreement may be terminated by a party thereto if the other party fails to perform its obligations under the agreement and such failure is not cured within 60 days after it receives a written notice from the non-breaching party.</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New Enrollment System Development Service Agreements. </w:t>
      </w:r>
      <w:r>
        <w:rPr>
          <w:rFonts w:ascii="Arial" w:cs="Arial" w:eastAsia="Arial" w:hAnsi="Arial"/>
          <w:sz w:val="16"/>
          <w:szCs w:val="16"/>
          <w:color w:val="auto"/>
        </w:rPr>
        <w:t>Pursuant to the new enrollment system development service agreements dated as of April 25,</w:t>
      </w:r>
      <w:r>
        <w:rPr>
          <w:rFonts w:ascii="Arial" w:cs="Arial" w:eastAsia="Arial" w:hAnsi="Arial"/>
          <w:sz w:val="16"/>
          <w:szCs w:val="16"/>
          <w:i w:val="1"/>
          <w:iCs w:val="1"/>
          <w:color w:val="auto"/>
        </w:rPr>
        <w:t xml:space="preserve"> </w:t>
      </w:r>
      <w:r>
        <w:rPr>
          <w:rFonts w:ascii="Arial" w:cs="Arial" w:eastAsia="Arial" w:hAnsi="Arial"/>
          <w:sz w:val="16"/>
          <w:szCs w:val="16"/>
          <w:color w:val="auto"/>
        </w:rPr>
        <w:t>2005 and their respective supplements entered into on January 1, 2006 between Beijing Decision and certain New Oriental schools, Beijing Decision agreed to provide new enrollment system development and regular maintenance services to each of these New Oriental schools for a fee calculated based upon the number of new enrollments each month, subject to quarterly adjustments. The new enrollment system in these agreements refers to the new enrollment system designed and created by Beijing Decision. Each of these agreements and their corresponding supplements has a term of five years from the signing date of the supplement. Each agreement may be terminated by a party thereto if the other party fails to perform its obligations under the agreement and such failure is not cured within 60 days after it receives a written notice from the non-breaching party.</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Website Development and Use Agreements. </w:t>
      </w:r>
      <w:r>
        <w:rPr>
          <w:rFonts w:ascii="Arial" w:cs="Arial" w:eastAsia="Arial" w:hAnsi="Arial"/>
          <w:sz w:val="16"/>
          <w:szCs w:val="16"/>
          <w:color w:val="auto"/>
        </w:rPr>
        <w:t>Pursuant to the website development and use agreements dated as of April 25, 2005 and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supplements entered into on January 1, 2006 between Beijing Decision and certain New Oriental schools and subsidiaries of New Oriental China, Beijing Decision agreed to provide website development and regular system maintenance services to each of these New Oriental schools and of these subsidiaries for an annual fee calculated based upon the annual revenues of the school and the subsidiary, respectively, subject to quarterly adjustments. Beijing Decision agreed to design and create a web platform based upon the request of the school and the subsidiary, as the case may be, each of which has the exclusive right to use, benefit from or otherwise dispose of the web platform. Each of these agreements and their corresponding supplements has a term of five years from the signing date of the supplement. Each agreement may be terminated by a party thereto if the other party fails to perform its obligations under the agreement and such failure is not cured within 60 days after it receives a written notice from the non-breaching party.</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Trademark License Agreements. </w:t>
      </w:r>
      <w:r>
        <w:rPr>
          <w:rFonts w:ascii="Arial" w:cs="Arial" w:eastAsia="Arial" w:hAnsi="Arial"/>
          <w:sz w:val="16"/>
          <w:szCs w:val="16"/>
          <w:color w:val="auto"/>
        </w:rPr>
        <w:t>Pursuant to (1) two trademark license agreements dated May 13, 2006 between us as the licensor and New Oriental China</w:t>
      </w:r>
      <w:r>
        <w:rPr>
          <w:rFonts w:ascii="Arial" w:cs="Arial" w:eastAsia="Arial" w:hAnsi="Arial"/>
          <w:sz w:val="16"/>
          <w:szCs w:val="16"/>
          <w:i w:val="1"/>
          <w:iCs w:val="1"/>
          <w:color w:val="auto"/>
        </w:rPr>
        <w:t xml:space="preserve"> </w:t>
      </w:r>
      <w:r>
        <w:rPr>
          <w:rFonts w:ascii="Arial" w:cs="Arial" w:eastAsia="Arial" w:hAnsi="Arial"/>
          <w:sz w:val="16"/>
          <w:szCs w:val="16"/>
          <w:color w:val="auto"/>
        </w:rPr>
        <w:t>as the licensee, and (2) the trademark license agreement dated May 13, 2006 between us as the licensor and Beijing Hewstone as the licensee, we have licensed our trademarks to New Oriental China and Beijing Hewstone for their use in China. We have also allowed Beijing Hewstone to enter into a sub-license agreement with each subsidiary of New Oriental China and each New Oriental school pursuant to which each of these subsidiaries and schools may use our trademarks in China by paying certain licensing fees. Beijing Hewstone is authorized to collect an annual licensing fee from each sub-licensee and handle other related matters. The term of each of these license and sublicense agreements is ten years from the signing date. Each agreement may be terminated by a party thereto if the other party fails to perform its obligations under the agreement and such failure is not cured within 60 days after it receives a written notice from the non-breaching party.</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Sale of Educational Software. </w:t>
      </w:r>
      <w:r>
        <w:rPr>
          <w:rFonts w:ascii="Arial" w:cs="Arial" w:eastAsia="Arial" w:hAnsi="Arial"/>
          <w:sz w:val="18"/>
          <w:szCs w:val="18"/>
          <w:color w:val="auto"/>
        </w:rPr>
        <w:t>Since 2005, Beijing Hewstone has been selling various self-developed educational software to various New Oriental schools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 turn included as part of the course materials for students who enroll in relevant courses. The sales are conducted at mutually agreed-upon prices without any written agreement between the parties.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Effective Control over New Oriental China and its Subsidiaries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Equity Pledge Agreement. </w:t>
      </w:r>
      <w:r>
        <w:rPr>
          <w:rFonts w:ascii="Arial" w:cs="Arial" w:eastAsia="Arial" w:hAnsi="Arial"/>
          <w:sz w:val="16"/>
          <w:szCs w:val="16"/>
          <w:color w:val="auto"/>
        </w:rPr>
        <w:t>Pursuant to the equity pledge agreement entered into on May 25, 2006 among New Oriental China, the shareholders of New</w:t>
      </w:r>
      <w:r>
        <w:rPr>
          <w:rFonts w:ascii="Arial" w:cs="Arial" w:eastAsia="Arial" w:hAnsi="Arial"/>
          <w:sz w:val="16"/>
          <w:szCs w:val="16"/>
          <w:i w:val="1"/>
          <w:iCs w:val="1"/>
          <w:color w:val="auto"/>
        </w:rPr>
        <w:t xml:space="preserve"> </w:t>
      </w:r>
      <w:r>
        <w:rPr>
          <w:rFonts w:ascii="Arial" w:cs="Arial" w:eastAsia="Arial" w:hAnsi="Arial"/>
          <w:sz w:val="16"/>
          <w:szCs w:val="16"/>
          <w:color w:val="auto"/>
        </w:rPr>
        <w:t>Oriental China, Beijing Hewstone and Beijing Decision, each shareholder agreed to pledge his or its equity interests of New Oriental China to Beijing Hewstone and Beijing Decision to secure the performance of New Oriental China’s or its subsidiaries’ obligations under the relevant principal agreements, including certain teaching support agreements, new enrollment system development service agreements, website development and use agreements, and trademark license agreements, and each of them has agreed not to transfer, sell, pledge, dispose of or otherwise create any encumbrance on his or its equity interest in New Oriental China without the prior written consent of Beijing Hewstone and Beijing Decision.</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Exclusive Option Agreement. </w:t>
      </w:r>
      <w:r>
        <w:rPr>
          <w:rFonts w:ascii="Arial" w:cs="Arial" w:eastAsia="Arial" w:hAnsi="Arial"/>
          <w:sz w:val="18"/>
          <w:szCs w:val="18"/>
          <w:color w:val="auto"/>
        </w:rPr>
        <w:t>Pursuant to the exclusive option agreements entered into on various dates and amended on May 25, 2006, among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New Oriental China and the shareholders of New Oriental China, the shareholders of New Oriental China are obligated to sell to us, and we have an exclusive, irrevocable and unconditional right to purchase, or cause our designated party to purchase, from such shareholders, in our sole discretion, part or of all of these shareholders’ equity interests in New Oriental China when and to the extent that applicable PRC law permits us to own part or all of such equity interests in New Oriental China. The purchase price to be paid by us will be the minimum amount of consideration permitted by applicable PRC law at the time when such share transfer occurs.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opinion of Tian Yuan Law Firm, our PRC legal counsel:</w:t>
      </w:r>
    </w:p>
    <w:p>
      <w:pPr>
        <w:spacing w:after="0" w:line="158" w:lineRule="exact"/>
        <w:rPr>
          <w:sz w:val="20"/>
          <w:szCs w:val="20"/>
          <w:color w:val="auto"/>
        </w:rPr>
      </w:pPr>
    </w:p>
    <w:p>
      <w:pPr>
        <w:ind w:left="780" w:right="6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ownership structures of New Oriental China and its subsidiaries and our wholly owned subsidiaries in China, both currently and after giving effect to this offering, are in compliance with existing PRC laws and regulations;</w:t>
      </w:r>
    </w:p>
    <w:p>
      <w:pPr>
        <w:spacing w:after="0" w:line="118"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contractual arrangements among our wholly owned subsidiaries in China and New Oriental China and its shareholders and subsidiaries governed by PRC law are valid, binding and enforceable, and will not result in any violation of PRC laws or regulations currently in effect; and</w:t>
      </w:r>
    </w:p>
    <w:p>
      <w:pPr>
        <w:spacing w:after="0" w:line="7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business operations of our wholly owned subsidiaries in China and New Oriental China and its subsidiaries, as described in this prospectus, are in compliance with existing PRC laws and regulations in all material respects.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been advised by our PRC legal counsel, however, that there are substantial uncertainties regarding the interpretation and application of current and future PRC laws and regulations. Accordingly, there can be no assurance that the PRC regulatory authorities will not in the future take a view that is contrary to the above opinion of our PRC legal counsel. We have been further advised by our PRC counsel that if the PRC government finds that the agreements that establish the structure for operating our PRC education business do not comply with PRC government restrictions on foreign investment in the education businesses, we could be subject to severe penalties. See “Risk Factors—Risks Related to Our Corporate Structure—If the PRC government finds that the agreements that establish the structure for operating our China business do not comply with applicable PRC laws and regulations, we could be subject to severe penalties” and “Risk Factors—Risks Related to Doing Business in China—Uncertainties with respect to the PRC legal system could adversely affect 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CONDENSED FINANCIAL DATA</w:t>
      </w:r>
    </w:p>
    <w:p>
      <w:pPr>
        <w:spacing w:after="0" w:line="16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following selected consolidated condensed financial data as of May 31, 2004, 2005 and 2006 and for the three years ended May 31, 2004, 2005 and 2006 have been derived from our audited consolidated financial statements. These consolidated condensed financial data have been audited by Deloitte Touche Tohmatsu CPA Ltd., an independent registered public accounting firm. The report of Deloitte Touche Tohmatsu CPA Ltd. on our audited consolidated financial statements is included elsewhere in this prospectus. Our selected consolidated condensed financial data as of May 31, 2002 and 2003 and for the two years ended May 31, 2002 and 2003 have been derived from our unaudited consolidated financial statements which are not included in this prospectus, but which have been prepared on the same basis as our audited consolidated financial statements. The selected consolidated condensed financial data should be read in conjunction with, and are qualified in their entirety by reference to, our audited consolidated financial statements and related notes and “Management’s Discussion and Analysis of Financial Condition and Results of Operations” included elsewhere in this prospectus. Our audited consolidated financial statements are prepared and presented in accordance with U.S. GAAP.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For the Years Ended May 31,</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per share and per ADS data)</w:t>
            </w:r>
          </w:p>
        </w:tc>
        <w:tc>
          <w:tcPr>
            <w:tcW w:w="8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2"/>
                <w:szCs w:val="22"/>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22"/>
                <w:szCs w:val="22"/>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Net revenues: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Educational programs and services</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235,800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344,382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430,398</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606,812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721,497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Arial" w:cs="Arial" w:eastAsia="Arial" w:hAnsi="Arial"/>
                <w:sz w:val="14"/>
                <w:szCs w:val="14"/>
                <w:color w:val="auto"/>
              </w:rPr>
              <w:t>Books and others</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2,659</w:t>
            </w:r>
          </w:p>
        </w:tc>
        <w:tc>
          <w:tcPr>
            <w:tcW w:w="760" w:type="dxa"/>
            <w:vAlign w:val="bottom"/>
          </w:tcPr>
          <w:p>
            <w:pPr>
              <w:jc w:val="right"/>
              <w:spacing w:after="0"/>
              <w:rPr>
                <w:sz w:val="20"/>
                <w:szCs w:val="20"/>
                <w:color w:val="auto"/>
              </w:rPr>
            </w:pPr>
            <w:r>
              <w:rPr>
                <w:rFonts w:ascii="Arial" w:cs="Arial" w:eastAsia="Arial" w:hAnsi="Arial"/>
                <w:sz w:val="14"/>
                <w:szCs w:val="14"/>
                <w:color w:val="auto"/>
              </w:rPr>
              <w:t>2,887</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11,411</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36,458</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48,762</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revenues</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238,459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347,269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441,809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643,270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770,259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costs and expenses: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Cost of revenues</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(102,530)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(145,339)</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(191,007)</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(273,690)</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(320,895)</w:t>
            </w: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and marketing</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(9,575)</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(20,667)</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(41,613)</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(50,716)</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(82,121)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(66,872)</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(156,577)</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(163,470)</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(207,767)</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(303,084)</w:t>
            </w:r>
          </w:p>
        </w:tc>
        <w:tc>
          <w:tcPr>
            <w:tcW w:w="12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(37,797)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costs and expenses</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(178,977)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(322,583)</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(396,090)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(532,173)</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(706,100)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(88,056)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59,482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24,686</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45,719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111,097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64,159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1,455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2,844</w:t>
            </w: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4,127</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3,652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2,332</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(384)</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(3,088)</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(6,338)</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(9,837)</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Miscellaneous income (expense)</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505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2,541</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136</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loss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(3,065)</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before income taxes and minority interest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61,442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27,154</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49,299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109,193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53,725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(1,594)</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(3,622)</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(7,772)</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(16,173)</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Arial" w:cs="Arial" w:eastAsia="Arial" w:hAnsi="Arial"/>
                <w:sz w:val="14"/>
                <w:szCs w:val="14"/>
                <w:color w:val="auto"/>
              </w:rPr>
              <w:t>Deferred</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985</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1,928</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2,250</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(1,594)</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(2,637)</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(5,844)</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(13,923)</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 net of tax</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60,649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25,591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46,442</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103,252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39,790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on discontinued operations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(6,228)</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5,947</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38,722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9,595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60,649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19,363</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52,389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141,974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49,385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Dividend in kind</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(25,526)</w:t>
            </w:r>
          </w:p>
        </w:tc>
        <w:tc>
          <w:tcPr>
            <w:tcW w:w="12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(3,183)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attributable to holders of common shares</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60,649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19,363</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52,389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141,974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23,859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per share—basic</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0.52</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per share—diluted</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0.52</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1.35</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Net income per ADS</w:t>
            </w:r>
            <w:r>
              <w:rPr>
                <w:rFonts w:ascii="Arial" w:cs="Arial" w:eastAsia="Arial" w:hAnsi="Arial"/>
                <w:sz w:val="22"/>
                <w:szCs w:val="22"/>
                <w:color w:val="auto"/>
                <w:vertAlign w:val="superscript"/>
              </w:rPr>
              <w:t>(1)</w:t>
            </w: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basic net income per share</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100,000,000</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100,000,000</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100,000,000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diluted net income per share</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100,000,000</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100,000,000</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104,840,183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111,111,111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111,111,111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8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Dividends declared per share</w:t>
            </w:r>
            <w:r>
              <w:rPr>
                <w:rFonts w:ascii="Arial" w:cs="Arial" w:eastAsia="Arial" w:hAnsi="Arial"/>
                <w:sz w:val="20"/>
                <w:szCs w:val="20"/>
                <w:color w:val="auto"/>
                <w:vertAlign w:val="superscript"/>
              </w:rPr>
              <w:t>(2)</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0.27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0.65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88"/>
              </w:rPr>
              <w:t>For the Years Ended May 31,</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7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7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per share and per ADS data)</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2"/>
                <w:szCs w:val="22"/>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2"/>
                <w:szCs w:val="22"/>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2"/>
                <w:szCs w:val="22"/>
                <w:color w:val="auto"/>
              </w:rPr>
            </w:pPr>
          </w:p>
        </w:tc>
        <w:tc>
          <w:tcPr>
            <w:tcW w:w="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2"/>
                <w:szCs w:val="22"/>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RMB</w:t>
            </w:r>
          </w:p>
        </w:tc>
        <w:tc>
          <w:tcPr>
            <w:tcW w:w="74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income per share on an as converted basis, basic (unaudited)</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income per share on an as converted basis, diluted (unaudited)</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pro forma per share amounts on an as converted basis, basic (unaudited)</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111,111,111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111,111,111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pro forma per share amounts on an as converted basis, diluted (unaudited)</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111,111,111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111,111,111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 included in:</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200"/>
              <w:spacing w:after="0" w:line="149" w:lineRule="exact"/>
              <w:rPr>
                <w:sz w:val="20"/>
                <w:szCs w:val="20"/>
                <w:color w:val="auto"/>
              </w:rPr>
            </w:pPr>
            <w:r>
              <w:rPr>
                <w:rFonts w:ascii="Arial" w:cs="Arial" w:eastAsia="Arial" w:hAnsi="Arial"/>
                <w:sz w:val="14"/>
                <w:szCs w:val="14"/>
                <w:color w:val="auto"/>
              </w:rPr>
              <w:t>Cost of revenues</w:t>
            </w:r>
          </w:p>
        </w:tc>
        <w:tc>
          <w:tcPr>
            <w:tcW w:w="100" w:type="dxa"/>
            <w:vAlign w:val="bottom"/>
          </w:tcPr>
          <w:p>
            <w:pPr>
              <w:spacing w:after="0"/>
              <w:rPr>
                <w:sz w:val="12"/>
                <w:szCs w:val="12"/>
                <w:color w:val="auto"/>
              </w:rPr>
            </w:pPr>
          </w:p>
        </w:tc>
        <w:tc>
          <w:tcPr>
            <w:tcW w:w="360" w:type="dxa"/>
            <w:vAlign w:val="bottom"/>
          </w:tcPr>
          <w:p>
            <w:pPr>
              <w:ind w:left="220"/>
              <w:spacing w:after="0" w:line="149" w:lineRule="exact"/>
              <w:rPr>
                <w:sz w:val="20"/>
                <w:szCs w:val="20"/>
                <w:color w:val="auto"/>
              </w:rPr>
            </w:pPr>
            <w:r>
              <w:rPr>
                <w:rFonts w:ascii="Arial" w:cs="Arial" w:eastAsia="Arial" w:hAnsi="Arial"/>
                <w:sz w:val="14"/>
                <w:szCs w:val="14"/>
                <w:color w:val="auto"/>
                <w:w w:val="85"/>
              </w:rPr>
              <w:t>—</w:t>
            </w:r>
          </w:p>
        </w:tc>
        <w:tc>
          <w:tcPr>
            <w:tcW w:w="5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481</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w:t>
            </w:r>
          </w:p>
        </w:tc>
        <w:tc>
          <w:tcPr>
            <w:tcW w:w="100" w:type="dxa"/>
            <w:vAlign w:val="bottom"/>
          </w:tcPr>
          <w:p>
            <w:pPr>
              <w:spacing w:after="0"/>
              <w:rPr>
                <w:sz w:val="12"/>
                <w:szCs w:val="12"/>
                <w:color w:val="auto"/>
              </w:rPr>
            </w:pPr>
          </w:p>
        </w:tc>
        <w:tc>
          <w:tcPr>
            <w:tcW w:w="4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and marketing</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313</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4"/>
                <w:szCs w:val="14"/>
                <w:color w:val="auto"/>
              </w:rPr>
            </w:pPr>
          </w:p>
        </w:tc>
        <w:tc>
          <w:tcPr>
            <w:tcW w:w="360" w:type="dxa"/>
            <w:vAlign w:val="bottom"/>
          </w:tcPr>
          <w:p>
            <w:pPr>
              <w:ind w:left="220"/>
              <w:spacing w:after="0"/>
              <w:rPr>
                <w:sz w:val="20"/>
                <w:szCs w:val="20"/>
                <w:color w:val="auto"/>
              </w:rPr>
            </w:pPr>
            <w:r>
              <w:rPr>
                <w:rFonts w:ascii="Arial" w:cs="Arial" w:eastAsia="Arial" w:hAnsi="Arial"/>
                <w:sz w:val="14"/>
                <w:szCs w:val="14"/>
                <w:color w:val="auto"/>
                <w:w w:val="85"/>
              </w:rPr>
              <w:t>—</w:t>
            </w:r>
          </w:p>
        </w:tc>
        <w:tc>
          <w:tcPr>
            <w:tcW w:w="560" w:type="dxa"/>
            <w:vAlign w:val="bottom"/>
            <w:gridSpan w:val="3"/>
          </w:tcPr>
          <w:p>
            <w:pPr>
              <w:jc w:val="right"/>
              <w:ind w:right="40"/>
              <w:spacing w:after="0"/>
              <w:rPr>
                <w:sz w:val="20"/>
                <w:szCs w:val="20"/>
                <w:color w:val="auto"/>
              </w:rPr>
            </w:pPr>
            <w:r>
              <w:rPr>
                <w:rFonts w:ascii="Arial" w:cs="Arial" w:eastAsia="Arial" w:hAnsi="Arial"/>
                <w:sz w:val="14"/>
                <w:szCs w:val="14"/>
                <w:color w:val="auto"/>
              </w:rPr>
              <w:t>10,207</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16,168</w:t>
            </w:r>
          </w:p>
        </w:tc>
        <w:tc>
          <w:tcPr>
            <w:tcW w:w="100" w:type="dxa"/>
            <w:vAlign w:val="bottom"/>
          </w:tcPr>
          <w:p>
            <w:pPr>
              <w:spacing w:after="0"/>
              <w:rPr>
                <w:sz w:val="14"/>
                <w:szCs w:val="14"/>
                <w:color w:val="auto"/>
              </w:rPr>
            </w:pPr>
          </w:p>
        </w:tc>
        <w:tc>
          <w:tcPr>
            <w:tcW w:w="4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62,655</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9607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7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Each ADS represents four common shares.</w:t>
      </w:r>
    </w:p>
    <w:p>
      <w:pPr>
        <w:ind w:left="340" w:right="140" w:hanging="332"/>
        <w:spacing w:after="0" w:line="230"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declared an annual dividend of RMB0.27 and RMB0.65 per share, respectively, to holders of our common shares in our fiscal years ended May 31, 2004 and 2005. We declared an annual dividend of RMB0.59 per share to holders of our common shares and preferred shares in our fiscal year ended May 31, 2006.</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consolidated balance sheet data as of May 31, 2002, 2003, 2004, 2005 and 2006: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As of May 31,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1"/>
              </w:rPr>
              <w:t>2006</w:t>
            </w:r>
            <w:r>
              <w:rPr>
                <w:rFonts w:ascii="Arial" w:cs="Arial" w:eastAsia="Arial" w:hAnsi="Arial"/>
                <w:sz w:val="22"/>
                <w:szCs w:val="22"/>
                <w:b w:val="1"/>
                <w:bCs w:val="1"/>
                <w:color w:val="auto"/>
                <w:w w:val="81"/>
                <w:vertAlign w:val="superscript"/>
              </w:rPr>
              <w:t>(1)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unaudited</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7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7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91"/>
              </w:rPr>
              <w:t>Pro Forma</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RMB</w:t>
            </w: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RMB</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RMB</w:t>
            </w: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US$</w:t>
            </w: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jc w:val="right"/>
              <w:ind w:right="152"/>
              <w:spacing w:after="0"/>
              <w:rPr>
                <w:sz w:val="20"/>
                <w:szCs w:val="20"/>
                <w:color w:val="auto"/>
              </w:rPr>
            </w:pPr>
            <w:r>
              <w:rPr>
                <w:rFonts w:ascii="Arial" w:cs="Arial" w:eastAsia="Arial" w:hAnsi="Arial"/>
                <w:sz w:val="14"/>
                <w:szCs w:val="14"/>
                <w:b w:val="1"/>
                <w:bCs w:val="1"/>
                <w:color w:val="auto"/>
                <w:w w:val="80"/>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Condensed Consolidated Balance Sheet Data:</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198,588</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232,173</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208,459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332,261</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261,854</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32,655</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261,854</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278,992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512,444</w:t>
            </w: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662,922</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1,113,312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1,089,562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135,876</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1,089,562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135,876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125,344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285,090</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376,698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447,354</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465,218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58,016</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465,218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58,016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126,045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332,112</w:t>
            </w: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439,042</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629,186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568,056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70,841</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568,056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Long-term debt, less current portion</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54,500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179,685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102,638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12,800</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102,638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A convertible preferred shares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gridSpan w:val="2"/>
          </w:tcPr>
          <w:p>
            <w:pPr>
              <w:ind w:left="420"/>
              <w:spacing w:after="0"/>
              <w:rPr>
                <w:sz w:val="20"/>
                <w:szCs w:val="20"/>
                <w:color w:val="auto"/>
              </w:rPr>
            </w:pPr>
            <w:r>
              <w:rPr>
                <w:rFonts w:ascii="Arial" w:cs="Arial" w:eastAsia="Arial" w:hAnsi="Arial"/>
                <w:sz w:val="14"/>
                <w:szCs w:val="14"/>
                <w:color w:val="auto"/>
              </w:rPr>
              <w:t>Total shareholders’ equity</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152,947</w:t>
            </w:r>
          </w:p>
        </w:tc>
        <w:tc>
          <w:tcPr>
            <w:tcW w:w="560" w:type="dxa"/>
            <w:vAlign w:val="bottom"/>
          </w:tcPr>
          <w:p>
            <w:pPr>
              <w:jc w:val="right"/>
              <w:spacing w:after="0"/>
              <w:rPr>
                <w:sz w:val="20"/>
                <w:szCs w:val="20"/>
                <w:color w:val="auto"/>
              </w:rPr>
            </w:pPr>
            <w:r>
              <w:rPr>
                <w:rFonts w:ascii="Arial" w:cs="Arial" w:eastAsia="Arial" w:hAnsi="Arial"/>
                <w:sz w:val="14"/>
                <w:szCs w:val="14"/>
                <w:color w:val="auto"/>
              </w:rPr>
              <w:t>180,332</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223,880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484,126</w:t>
            </w:r>
          </w:p>
        </w:tc>
        <w:tc>
          <w:tcPr>
            <w:tcW w:w="700" w:type="dxa"/>
            <w:vAlign w:val="bottom"/>
          </w:tcPr>
          <w:p>
            <w:pPr>
              <w:jc w:val="right"/>
              <w:spacing w:after="0"/>
              <w:rPr>
                <w:sz w:val="20"/>
                <w:szCs w:val="20"/>
                <w:color w:val="auto"/>
              </w:rPr>
            </w:pPr>
            <w:r>
              <w:rPr>
                <w:rFonts w:ascii="Arial" w:cs="Arial" w:eastAsia="Arial" w:hAnsi="Arial"/>
                <w:sz w:val="14"/>
                <w:szCs w:val="14"/>
                <w:color w:val="auto"/>
              </w:rPr>
              <w:t>521,506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65,035</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521,506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65,035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9607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75" w:lineRule="exact"/>
        <w:rPr>
          <w:sz w:val="20"/>
          <w:szCs w:val="20"/>
          <w:color w:val="auto"/>
        </w:rPr>
      </w:pPr>
    </w:p>
    <w:p>
      <w:pPr>
        <w:ind w:left="340" w:right="80" w:hanging="332"/>
        <w:spacing w:after="0" w:line="239"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unaudited pro forma balance sheet data as of May 31, 2006 assumes the conversion of all of our outstanding Series A convertible preferred shares outstanding as of May 31, 2006 into common shares immediately upon the completion of the initial public offering.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is an estimate of our selected preliminary unaudited financial results for the three months ending August 31, 2006. These results are subject to the completion of our normal quarter-end closing procedures and review by our independent registered public accounting firm in accordance with Statement of Auditing Standards No. 100, which provides guidance on performing reviews of interim financial information. As a result, our preliminary unaudited financial results set forth below may be subject to change. For additional information regarding the various risks and uncertainties inherent in estimates of this type, see “Forward-Looking Statements.”</w:t>
      </w:r>
    </w:p>
    <w:p>
      <w:pPr>
        <w:spacing w:after="0" w:line="129"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estimate that we will generate total net revenues ranging from approximately RMB405 million (US$50.5 million) to RMB425 million (US$53.0 million) in the three months ending August 31, 2006. We estimate that we will have operating income ranging from approximately RMB153 million (US$19.1 million) to RMB173 million (US$21.6 million) in the three months ending August 31, 2006. We estimate that we will have net income ranging from approximately RMB140 million (US$17.5 million) to RMB160 million (US$20.0 million) in the three months ending August 31, 2006.</w:t>
      </w:r>
    </w:p>
    <w:p>
      <w:pPr>
        <w:spacing w:after="0" w:line="9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full results for our fiscal quarter ending August 31, 2006 are not yet available, based upon our management accounts for June and July 2006 and the information available to us, and except as otherwise described in this prospectus, we do not anticipate that our results for the quarter will be adversely impacted, in the aggregate, by any material or unusual adverse events. However, our actual results may differ from our current estimates. We cannot assure you that our results for this interim period will be indicative of our results for the full year or future quarterly periods. Please refer to “Management’s Discussion and Analysis of Financial Condition and Results of Operations” included elsewhere in this prospectus for information regarding trends and other factors that may influence our results of operations.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the largest provider of private educational services in China based on the number of program offerings, total student enrollments and geographic presence. We offer a wide range of educational programs, services and products consisting primarily of English and other foreign language training, test preparation courses for admissions and assessment tests in the United States, the PRC and Commonwealth countries, primary and secondary school education, development and distribution of educational content, software and other technology, and online education. We have experienced significant growth in our business in recent years. Our total net revenues increased from RMB441.8 million in the fiscal year ended May 31, 2004 to RMB770.3 million (US$96.1 million) in the fiscal year ended May 31, 2006, representing a CAGR of 32.0%, and our net income increased from RMB52.4 million in the fiscal year ended May 31, 2004 to RMB142.0 million in the fiscal year ended May 31, 2005, but decreased to RMB49.4 million (US$6.2 million) in the fiscal year ended May 31, 2006 primarily due to the RMB64.5 million (US$8.0 million) share-based compensation expenses we incurred in connection with the restricted shares we granted to our employees, directors and consultants during the year at prices below the fair market value of our common shares on the relevant dates of grant and an RMB29.1 million (US$3.6 million) decrease in the income from discontinued operations as we disposed of all of our equity interest in an affiliated entity in August 2005.</w:t>
      </w:r>
    </w:p>
    <w:p>
      <w:pPr>
        <w:spacing w:after="0" w:line="11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recent growth has been achieved primarily by increasing student enrollments and course fees through expanding the breadth of our program, service and product offerings, implementing market-based fee increases and establishing new schools and learning centers. Our total cumulative student enrollments increased from over 552,000 as of the end of 2001 to over three million as of May 31, 2006, and our network grew from three schools and 23 learning centers in three cities in 2001 to 25 schools and 111 learning centers in 24 cities, respectively, as of May 31,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Factors Affecting Our Results of Operations</w:t>
      </w:r>
    </w:p>
    <w:p>
      <w:pPr>
        <w:spacing w:after="0" w:line="15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benefited significantly from favorable demographic trends, the overall economic growth and the demand for high-quality private education and English language training in China. The overall economic growth and the increase in the GDP per capita in China have led to a significant increase in spending on education in China. At the same time, China’s integration into the global economy has accelerated, resulting in more career opportunities for Chinese citizens who are able to communicate effectively in English. We anticipate that the demand for private education and English language training in China will continue to increase as the economy in China continues to grow and as disposable income of urban households continues to rise. However, any adverse changes in the economic conditions or regulatory environment in China may have a material adverse effect on the private education industry in China, which in turn may harm our business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Factors Affecting Our Results of Operations</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While our business is influenced by factors affecting the private education industry in China generally and by conditions in each of the geographic markets we serve, we believe our business is more directly affected by company-specific factors such as the number of student enrollments, the amount of course fees and our operating costs and expenses. The number of student enrollments is in turn largely driven by the demand for our courses, the effectiveness of our marketing and brand promotion efforts, the locations of our schools and learning centers, our ability to maintain the consistency and quality of our teaching, and our ability to respond to competitive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pressure, as well as seasonal factors. We determine course fees primarily based on demand for our courses, the targeted market for our courses, the subject of the course, the geographic location of the school, cost of services, and the course fees charged by our competitors for the same or similar courses.</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Our future results of operations will depend significantly upon our ability to increase student enrollments at existing schools and learning centers and further expand our school network throughout China, as well as offer a greater variety of courses, including smaller-size classes. Specifically, we opened 10 new schools in fiscal year 2006 and plan to open six to eight new schools in fiscal year 2007 depending on local market conditions of the new markets we plan to enter. We expect to incur capital expenditures ranging from approximately RMB1.0 million to RMB4.0 million per new school depending primarily on the size and geographic location of the school. In addition, we have offered and plan to continue offering an increasing number and a greater variety of smaller classes, such as “Pop Kids” English classes for kindergarten through sixth grade students with 10 to 25 students per class and higher-end “Elite English” classes for adults and children of high-income families with one to 10 students per class. Our planned expansion will result in substantial demands on our management, operational, technological, financial and other resources. To manage and support our growth, we must improve our existing operational, administrative and technological systems and our financial and management controls, and recruit, train and retain additional qualified teachers and school management personnel as well as other administrative and sales and marketing personnel, particularly as we grow outside of our existing markets. We have launched our new computerized enrollment system to timely track course enrollment and other relevant operating data in our schools in Beijing and plan to roll out the system across our school network by the end of fiscal year 2007. We will continue to implement additional systems and measures and recruit qualified personnel in order to effectively manage and support our growth. If we cannot achieve these improvements, our financial condition and results of operations may be materially adversely affected.</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Due to certain restrictions and qualification requirements under PRC law that apply to foreign investment in China’s education industry, our education business is currently conducted through contractual arrangements among us, our wholly owned subsidiaries in China, and our consolidated variable interest entities in China, which consist of New Oriental China and its wholly owned subsidiaries. New Oriental China’s subsidiaries hold the licenses and permits necessary to conduct our educational services business in China and directly operate its schools, learning centers and bookstores, develop and distribute educational content, software and other technologies, and operate our online education business. We intend to own and operate schools and learning centers when PRC law permits us to do so. For a description of these contractual arrangements, see “Corporate Structure—Our Corporate Structure and Contractual Arrangements” and “Related Party Transactions—Contractual Arrangements with New Oriental China and Its Subsidiaries and Shareholders.”</w:t>
      </w:r>
    </w:p>
    <w:p>
      <w:pPr>
        <w:spacing w:after="0" w:line="105" w:lineRule="exact"/>
        <w:rPr>
          <w:sz w:val="20"/>
          <w:szCs w:val="20"/>
          <w:color w:val="auto"/>
        </w:rPr>
      </w:pPr>
    </w:p>
    <w:p>
      <w:pPr>
        <w:jc w:val="both"/>
        <w:ind w:right="440" w:firstLine="456"/>
        <w:spacing w:after="0" w:line="370" w:lineRule="auto"/>
        <w:rPr>
          <w:sz w:val="20"/>
          <w:szCs w:val="20"/>
          <w:color w:val="auto"/>
        </w:rPr>
      </w:pPr>
      <w:r>
        <w:rPr>
          <w:rFonts w:ascii="Arial" w:cs="Arial" w:eastAsia="Arial" w:hAnsi="Arial"/>
          <w:sz w:val="15"/>
          <w:szCs w:val="15"/>
          <w:i w:val="1"/>
          <w:iCs w:val="1"/>
          <w:color w:val="auto"/>
        </w:rPr>
        <w:t xml:space="preserve">Net Revenues. </w:t>
      </w:r>
      <w:r>
        <w:rPr>
          <w:rFonts w:ascii="Arial" w:cs="Arial" w:eastAsia="Arial" w:hAnsi="Arial"/>
          <w:sz w:val="15"/>
          <w:szCs w:val="15"/>
          <w:color w:val="auto"/>
        </w:rPr>
        <w:t>In the fiscal years ended May 31, 2004, 2005 and 2006, we generated total net revenues of RMB441.8 million, RMB643.3 million and</w:t>
      </w:r>
      <w:r>
        <w:rPr>
          <w:rFonts w:ascii="Arial" w:cs="Arial" w:eastAsia="Arial" w:hAnsi="Arial"/>
          <w:sz w:val="15"/>
          <w:szCs w:val="15"/>
          <w:i w:val="1"/>
          <w:iCs w:val="1"/>
          <w:color w:val="auto"/>
        </w:rPr>
        <w:t xml:space="preserve"> </w:t>
      </w:r>
      <w:r>
        <w:rPr>
          <w:rFonts w:ascii="Arial" w:cs="Arial" w:eastAsia="Arial" w:hAnsi="Arial"/>
          <w:sz w:val="15"/>
          <w:szCs w:val="15"/>
          <w:color w:val="auto"/>
        </w:rPr>
        <w:t>RMB770.3 million (US$96.1 million), respectively. Our revenues are net of PRC business taxes and related surcharges, as well as scholarships and refunds.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derive revenues from the following sources:</w:t>
      </w:r>
    </w:p>
    <w:p>
      <w:pPr>
        <w:spacing w:after="0" w:line="158" w:lineRule="exact"/>
        <w:rPr>
          <w:sz w:val="20"/>
          <w:szCs w:val="20"/>
          <w:color w:val="auto"/>
        </w:rPr>
      </w:pPr>
    </w:p>
    <w:p>
      <w:pPr>
        <w:ind w:left="780" w:right="28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educational programs and services, which accounted for 97.4%, 94.3% and 93.7% of our total net revenues in the fiscal years ended May 31, 2004, 2005 and 2006, respectively; and</w:t>
      </w:r>
    </w:p>
    <w:p>
      <w:pPr>
        <w:spacing w:after="0" w:line="118" w:lineRule="exact"/>
        <w:rPr>
          <w:rFonts w:ascii="Arial" w:cs="Arial" w:eastAsia="Arial" w:hAnsi="Arial"/>
          <w:sz w:val="18"/>
          <w:szCs w:val="18"/>
          <w:color w:val="auto"/>
        </w:rPr>
      </w:pPr>
    </w:p>
    <w:p>
      <w:pPr>
        <w:ind w:left="780" w:right="66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books and others, which accounted for 2.6%, 5.7% and 6.3% of our total net revenues in the fiscal years ended May 31, 2004, 2005 and 2006, respectively.</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 xml:space="preserve">Educational Programs and Services. </w:t>
      </w:r>
      <w:r>
        <w:rPr>
          <w:rFonts w:ascii="Arial" w:cs="Arial" w:eastAsia="Arial" w:hAnsi="Arial"/>
          <w:sz w:val="18"/>
          <w:szCs w:val="18"/>
          <w:color w:val="auto"/>
        </w:rPr>
        <w:t>Our educational programs and services consist of language training and test preparation courses, primary and</w:t>
      </w:r>
      <w:r>
        <w:rPr>
          <w:rFonts w:ascii="Arial" w:cs="Arial" w:eastAsia="Arial" w:hAnsi="Arial"/>
          <w:sz w:val="18"/>
          <w:szCs w:val="18"/>
          <w:i w:val="1"/>
          <w:iCs w:val="1"/>
          <w:color w:val="auto"/>
        </w:rPr>
        <w:t xml:space="preserve"> </w:t>
      </w:r>
      <w:r>
        <w:rPr>
          <w:rFonts w:ascii="Arial" w:cs="Arial" w:eastAsia="Arial" w:hAnsi="Arial"/>
          <w:sz w:val="18"/>
          <w:szCs w:val="18"/>
          <w:color w:val="auto"/>
        </w:rPr>
        <w:t>secondary school education, online education and post-secondary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education. Revenues from language training courses and test preparation courses accounted for 96.0%, 91.9% and 89.2%, respectively, of our total net revenues in the fiscal years ended May 31, 2004, 2005 and 2006.</w:t>
      </w:r>
    </w:p>
    <w:p>
      <w:pPr>
        <w:spacing w:after="0" w:line="11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recognize revenues from course fees collected for enrollment in our language training and test preparation courses and post-secondary educational programs proportionally as we deliver the instruction over the period of the course. We recognize revenues from school fees collected for enrollment in New Oriental China’s primary and secondary school ratably over the corresponding academic year. We sell pre-paid online education cards primarily to distributors, who in turn sell them to students. We recognize revenues from sales of pre-paid cards in proportion to the actual time that students spend on our online courses. Course fees and school fees collected and amounts received from sales of pre-paid cards are recorded as deferred revenues until they can be recognized as revenues upon their use or expiration. Upon expiration of a prepaid card, which is six months to one year from the date of the sale of the card, we recognize the remaining amount of deferred revenues as revenues.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most significant factors that directly affect our revenues from educational programs and services are the number of student enrollments and the amount of course fees. We believe our students are attracted to us primarily because of our established brand and reputation in the private education sector, especially in the areas of English language training and overseas admissions and assessment test preparation, the quality of our instruction and the variety of our programs, services and products. For the past five years, our revenue growth has been driven primarily by increased enrollments in our English language training courses and test preparation courses and other programs and services. The number of student enrollments for our courses is affected by the demand for our courses, the effectiveness of our marketing and brand promotion, the demographic composition of the cities where we have schools and learning centers, our ability to respond to competitive pressure, as well as seasonal factors. Our courses generally have the largest student enrollments in our first fiscal quarter from June 1 to August 31 each year, primarily because many students enroll in our courses during the summer vacation to enhance their foreign language skills and/or prepare for admissions and assessment tests in subsequent school terms. In addition, we have generally experienced larger student enrollments in our third fiscal quarter from December 1 to February 28 each year, primarily because many students enroll in our language training and other courses during the winter school holidays. We expect this seasonality enrollment pattern to continue, especially for most of our language training courses for college and middle school students and test preparation courses.</w:t>
      </w:r>
    </w:p>
    <w:p>
      <w:pPr>
        <w:spacing w:after="0" w:line="111"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Although similar courses have comparable rates, course fees vary among our numerous courses. We determine course fees primarily based on demand for our courses, the targeted market for our courses, the subject of the course, the geographic location of the school, cost of services, and the course fees charged by our competitors for the same or similar programs. Our test preparation courses are generally delivered in large class settings ranging from 50 students to 500 students per class and our English language training courses are delivered in class settings ranging from one student to 150 students per class. To further penetrate the English language training markets for children and high-income individuals, we have offered and plan to continue offering an increasing number and a greater variety of smaller classes for children and adults, such as “Pop Kids” English classes for students in kindergarten through grade six with ten to 25 students per class and higher-end personalized “Elite English” classes for high-income adults and children with one to ten students per class. We typically adjust course fees or school fees based on the market conditions of the city where the particular school is located, subject to the relevant local governmental authority’s advance approval, if required. We expect to continue to derive a substantial majority of our revenues from educational programs and services.</w:t>
      </w:r>
    </w:p>
    <w:p>
      <w:pPr>
        <w:spacing w:after="0" w:line="9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significant portion of our revenues has been derived from test preparation courses. The success of our test preparation courses depends on the continued use of admissions and assessment tests by educational institutions and governmental authorities both in China and abroad. If the use of admissions and assessment tests declines or falls out of favor with educational institutions, government authorities and other entities, the markets for our test preparation courses will shrink and our business may be materially and adversely affected. For example, in early 2005, the PRC Ministry of Education started reforming the CET 4 and CET 6 exams, which, among other things, will limit these exams only to college students starting from 2007. As a result, the total number of students who started our CET 4 and CET 6 exam preparation courses decreased from approximately 180,000 in calendar year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2004 to approximately 140,000 in calendar year 2005. We have experienced only a slight decline in the number of students who started our CET 4 and CET 6 exam preparation courses in calendar year 2006 to date as compared to the same period in 2005. We are currently not aware of any other proposed reforms by the PRC regulatory authorities concerning admissions and assessment tests that would materially and adversely affect our domestic test preparation business.</w:t>
      </w:r>
    </w:p>
    <w:p>
      <w:pPr>
        <w:spacing w:after="0" w:line="9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Books and Others. </w:t>
      </w:r>
      <w:r>
        <w:rPr>
          <w:rFonts w:ascii="Arial" w:cs="Arial" w:eastAsia="Arial" w:hAnsi="Arial"/>
          <w:sz w:val="18"/>
          <w:szCs w:val="18"/>
          <w:color w:val="auto"/>
        </w:rPr>
        <w:t>We distribute and sell books and other educational materials developed or licensed by us through our own distribution channels,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our bookstores and websites, and also through third-party distributors. We normally provide books and other educational materials that are required for our courses and do not separately charge students for these items. We recognize revenues from sales of books and other educational materials when the products are sold to end customers. As we believe successful content development is important to the success of our business in China, we intend to continuously enhance the quality and breadth of our education content offerings and distribute more books and other educational materials through our own bookstores, as well as third-party distributors, including over 5,000 bookstores. Accordingly, we expect revenues from sales of books and other educational materials to continue to increase in the future.</w:t>
      </w:r>
    </w:p>
    <w:p>
      <w:pPr>
        <w:spacing w:after="0" w:line="13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also provide consulting services to students regarding overseas studies and related processes, such as visa applications. We charge each student a fee based on the scope of consulting services requested by the student and recognize revenues when our consulting services are delivered. We expect that revenues from these consulting services will continue to constitute a small portion of our total revenues in the future.</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and expenses consist of cost of revenues, selling and marketing expenses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The following table sets forth the components of our operating costs and expenses, both in absolute amount and as a percentage of total revenues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w w:val="96"/>
              </w:rPr>
              <w:t>For the Years Ended May 31,</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238"/>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4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540" w:type="dxa"/>
            <w:vAlign w:val="bottom"/>
            <w:gridSpan w:val="4"/>
          </w:tcPr>
          <w:p>
            <w:pPr>
              <w:spacing w:after="0"/>
              <w:rPr>
                <w:sz w:val="20"/>
                <w:szCs w:val="20"/>
                <w:color w:val="auto"/>
              </w:rPr>
            </w:pPr>
            <w:r>
              <w:rPr>
                <w:rFonts w:ascii="Arial" w:cs="Arial" w:eastAsia="Arial" w:hAnsi="Arial"/>
                <w:sz w:val="14"/>
                <w:szCs w:val="14"/>
                <w:i w:val="1"/>
                <w:iCs w:val="1"/>
                <w:color w:val="auto"/>
              </w:rPr>
              <w:t>(in thousands except percentages)</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RMB</w:t>
            </w: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20" w:type="dxa"/>
            <w:vAlign w:val="bottom"/>
            <w:gridSpan w:val="3"/>
          </w:tcPr>
          <w:p>
            <w:pPr>
              <w:ind w:left="160"/>
              <w:spacing w:after="0"/>
              <w:rPr>
                <w:sz w:val="20"/>
                <w:szCs w:val="20"/>
                <w:color w:val="auto"/>
              </w:rPr>
            </w:pPr>
            <w:r>
              <w:rPr>
                <w:rFonts w:ascii="Arial" w:cs="Arial" w:eastAsia="Arial" w:hAnsi="Arial"/>
                <w:sz w:val="14"/>
                <w:szCs w:val="14"/>
                <w:b w:val="1"/>
                <w:bCs w:val="1"/>
                <w:color w:val="auto"/>
              </w:rPr>
              <w:t>RMB</w:t>
            </w:r>
          </w:p>
        </w:tc>
        <w:tc>
          <w:tcPr>
            <w:tcW w:w="40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RMB</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US$</w:t>
            </w: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441,809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643,270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770,259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$ 96,057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(191,007)</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(43.2)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(273,690)</w:t>
            </w:r>
          </w:p>
        </w:tc>
        <w:tc>
          <w:tcPr>
            <w:tcW w:w="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(42.5)</w:t>
            </w:r>
          </w:p>
        </w:tc>
        <w:tc>
          <w:tcPr>
            <w:tcW w:w="2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w w:val="85"/>
              </w:rPr>
              <w:t>(320,895)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(40,018)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(41,613)</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(50,716)</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(82,121)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(163,470)</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(37.0)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(207,767)</w:t>
            </w:r>
          </w:p>
        </w:tc>
        <w:tc>
          <w:tcPr>
            <w:tcW w:w="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(32.3)</w:t>
            </w:r>
          </w:p>
        </w:tc>
        <w:tc>
          <w:tcPr>
            <w:tcW w:w="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w w:val="85"/>
              </w:rPr>
              <w:t>(303,084)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(37,797)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(39.3)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(396,090)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(89.6)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(532,173)</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(82.7)</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5"/>
              </w:rPr>
              <w:t>(706,100)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(88,056)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(91.7)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rely on our teachers to deliver educational services. Our teachers consist of both full-time teachers and contract teachers. Full-time teachers deliver instruction and may also be involved in management, administration and other functions at our schools and other subsidiaries and affiliated entities. Their compensation and benefits primarily consist of teaching fees based on hourly rates, performance-linked bonuses based on student evaluations, as well as base salary, annual bonus and standard employee benefits in connection with their services other than teaching. Compensation of our contract teachers is comprised primarily of teaching fees based on hourly rates and performance-linked bonuses based on student evaluations and other factors. To attract and retain high-quality teachers, we have granted equity incentives, including restricted shares and share options, to some of our teachers. We account for teaching fees and performance-linked bonuses paid to our teachers as cost of revenues as they are directly associated with the provision of educational services, and account for the other compensation and benefits to our teachers as general and administrative expenses.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Cost of revenues for educational programs and services primarily consists of teaching fees and performance-linked bonuses paid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teachers and rental payments for our schools and learning centers and, to a lesser degree, depreciation and amortization of property and equipment used in the provision of educational services, as well as costs of course materials. Cost of books and others primarily consist of printing costs of books and other materials, and licenses fees, royalties and other fees paid to content licensors, publishing companies and third-party distributors. We anticipate that our total cost of revenues will continue to increase as we continue to open new schools and learning centers and hire additional teachers.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Our selling and marketing expenses primarily consist of expenses relating to advertising, seminars,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promotional trips and other community activities for brand promotion purpose. We expect that our selling and marketing expenses will continue to increase as we further expand into new geographic locations and enhance our brand recognition.</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primarily consist of compensation and benefits of administrative staff,</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benefits of full-time teachers excluding teaching fees and performance-linked bonuses and, to a lesser extent, costs to develop curriculum, costs of third-party professional services, rental and utilities payments relating to office and administrative functions, and depreciation and amortization of property and equipment used in our general and administrative activities. We expect that our general and administrative expenses will increase in the near term as we hire additional personnel and incur additional costs in connection with the expansion of our business and with being a publicly traded company, including costs of enhancing our internal controls.</w:t>
      </w:r>
    </w:p>
    <w:p>
      <w:pPr>
        <w:spacing w:after="0" w:line="13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 xml:space="preserve">Share-based Compensation Expenses. </w:t>
      </w:r>
      <w:r>
        <w:rPr>
          <w:rFonts w:ascii="Arial" w:cs="Arial" w:eastAsia="Arial" w:hAnsi="Arial"/>
          <w:sz w:val="16"/>
          <w:szCs w:val="16"/>
          <w:color w:val="auto"/>
        </w:rPr>
        <w:t>The following table sets forth the allocation of our share-based compensation expenses, both in absolute amount and</w:t>
      </w:r>
      <w:r>
        <w:rPr>
          <w:rFonts w:ascii="Arial" w:cs="Arial" w:eastAsia="Arial" w:hAnsi="Arial"/>
          <w:sz w:val="16"/>
          <w:szCs w:val="16"/>
          <w:i w:val="1"/>
          <w:iCs w:val="1"/>
          <w:color w:val="auto"/>
        </w:rPr>
        <w:t xml:space="preserve"> </w:t>
      </w:r>
      <w:r>
        <w:rPr>
          <w:rFonts w:ascii="Arial" w:cs="Arial" w:eastAsia="Arial" w:hAnsi="Arial"/>
          <w:sz w:val="16"/>
          <w:szCs w:val="16"/>
          <w:color w:val="auto"/>
        </w:rPr>
        <w:t>as a percentage of total share-based compensation expenses, among our employees based on the nature of work which they were assigned to perform.</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92"/>
              </w:rPr>
              <w:t>For the Years Ended May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9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18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percentages)</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RMB</w:t>
            </w:r>
          </w:p>
        </w:tc>
        <w:tc>
          <w:tcPr>
            <w:tcW w:w="340" w:type="dxa"/>
            <w:vAlign w:val="bottom"/>
          </w:tcPr>
          <w:p>
            <w:pPr>
              <w:jc w:val="right"/>
              <w:ind w:right="1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RMB</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79"/>
              <w:spacing w:after="0"/>
              <w:rPr>
                <w:sz w:val="20"/>
                <w:szCs w:val="20"/>
                <w:color w:val="auto"/>
              </w:rPr>
            </w:pPr>
            <w:r>
              <w:rPr>
                <w:rFonts w:ascii="Arial" w:cs="Arial" w:eastAsia="Arial" w:hAnsi="Arial"/>
                <w:sz w:val="14"/>
                <w:szCs w:val="14"/>
                <w:b w:val="1"/>
                <w:bCs w:val="1"/>
                <w:color w:val="auto"/>
                <w:w w:val="87"/>
              </w:rPr>
              <w:t>US$</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Allocation of Share-based Compensation Expenses: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520" w:type="dxa"/>
            <w:vAlign w:val="bottom"/>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392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16,168</w:t>
            </w:r>
          </w:p>
        </w:tc>
        <w:tc>
          <w:tcPr>
            <w:tcW w:w="22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96.1</w:t>
            </w:r>
          </w:p>
        </w:tc>
        <w:tc>
          <w:tcPr>
            <w:tcW w:w="120" w:type="dxa"/>
            <w:vAlign w:val="bottom"/>
          </w:tcPr>
          <w:p>
            <w:pPr>
              <w:spacing w:after="0"/>
              <w:rPr>
                <w:sz w:val="19"/>
                <w:szCs w:val="19"/>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62,655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9"/>
              </w:rPr>
              <w:t>$ 7,816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the fiscal years ended May 31, 2004, 2005 and 2006, we issued 2,477,500, nil and 4,572,500 restricted shares, respectively, to our employees, directors and consultants for services rendered by them. These shares vested immediately on the date of grant. In addition, we adopted the 2006 Share Incentive Plan in January 2006, under which we are authorized to, starting from 2006, issue share options to purchase up to 10,000,000 common shares to our employees, directors and consultants in 2006, as well as additional options in future periods. See “Management—Share Incentives.” We have granted options to purchase a total of 8,719,500 common shares to our employees and directors in 2006. In December 2004, the Financial Accounting Standards Board, or FASB, issued statement of accounting standards, or SFAS, No. 123R “Share-Based Payment,” effective January 1, 2006. Accordingly, we have adopted the provisions of SFAS 123(R) for the share options granted in 2006. SFAS 123(R) requires share-based compensation expense to be determined based on the fair value of our common shares as of their grant date.</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restricted shares granted to our employees, we record share-based compensation expense for the excess of the fair value of the restricted shares at the date of the grant over the purchase price that a grantee must pay to acquire the shares during the period in which the shares may be purchased. For options granted to our employees and directors, we record share-based compensation expenses based on the fair value of our common shares underlying options as of the date of option grant and amortize the expenses over the vesting periods of the options.</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engaged American Appraisal China Limited, an independent appraiser, to assess the fair values of our common shares as of each relevant grant date. The independent appraiser applied a blended income and market value approach to arrive at the fair values for our common shares. Determining the fair value of our common shares requires making complex and subjective judgments regarding projected financial and operating results, our unique business risks, the liquidity of our shares and our operating history and prospects at the time of grant. We used the income approach in conjunction with the market value approach by assigning a different weight to each of the approaches to estimate the value of the enterprise when the option was granted. The income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approach involves applying appropriate discount rates to estimated cash flows that are based on earnings forecasts. Our revenues and earnings growth rates, as well as major milestones that we have achieved contributed significantly to the increase in the fair value of our common shares. However, these fair values are inherently uncertain and highly subjective. The assumptions used in deriving the fair values are consistent with our business plan. These assumptions include: no material changes in the existing political, legal, fiscal and economic conditions in China; no major changes in tax law in China or the tax rates applicable to our subsidiaries and consolidated affiliated entities in China; our ability to retain competent management, key personnel and teaching staff to support our ongoing operations; and no material deviation in market conditions from economic forecasts. These assumptions are inherently uncertain. The risks associated with achieving our forecasts were assessed in selecting the appropriate discount rates, which ranged from 15% to 17%. If different discount rates had been used, the valuations would have been different and the amount of share-based compensation would also have been different because the fair value of the underlying common shares for the options granted would have been different.</w:t>
      </w:r>
    </w:p>
    <w:p>
      <w:pPr>
        <w:spacing w:after="0" w:line="10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independent appraiser has used the option-pricing method to allocate enterprise value to preferred and common shares. This method involves making estimates of the anticipated timing of a potential liquidity event such as a sale of our company or an initial public offering and estimates of the volatility of our equity securities. The anticipated timing is based on the plans of our board and management. Estimating the volatility of the share price of a privately held company is complex because there is no readily available market for the shares. We estimated the volatility of our shares based on historical volatility of comparable companies’ shares. Had we used different estimates of volatility, the allocations between preferred and common shares would have been different.</w:t>
      </w:r>
    </w:p>
    <w:p>
      <w:pPr>
        <w:spacing w:after="0" w:line="10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our option plan covers all of our employees, the change in the amount of share-based compensation expenses will primarily affect our reported net income, earnings per share and all line items of our operating costs and expenses, which include cost of revenues, selling and marketing expenses and general and administrative expenses.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May 31, 2005, the end of our fiscal year 2005, we have granted the following restricted shares to our employees, directors and consultants.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right"/>
              <w:ind w:right="332"/>
              <w:spacing w:after="0"/>
              <w:rPr>
                <w:sz w:val="20"/>
                <w:szCs w:val="20"/>
                <w:color w:val="auto"/>
              </w:rPr>
            </w:pPr>
            <w:r>
              <w:rPr>
                <w:rFonts w:ascii="Arial" w:cs="Arial" w:eastAsia="Arial" w:hAnsi="Arial"/>
                <w:sz w:val="14"/>
                <w:szCs w:val="14"/>
                <w:b w:val="1"/>
                <w:bCs w:val="1"/>
                <w:color w:val="auto"/>
              </w:rPr>
              <w:t>Number of Restricted</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Fair Value of</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4"/>
        </w:trPr>
        <w:tc>
          <w:tcPr>
            <w:tcW w:w="2520" w:type="dxa"/>
            <w:vAlign w:val="bottom"/>
          </w:tcPr>
          <w:p>
            <w:pPr>
              <w:ind w:left="940"/>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5"/>
                <w:szCs w:val="15"/>
                <w:color w:val="auto"/>
              </w:rPr>
            </w:pPr>
          </w:p>
        </w:tc>
        <w:tc>
          <w:tcPr>
            <w:tcW w:w="2060" w:type="dxa"/>
            <w:vAlign w:val="bottom"/>
          </w:tcPr>
          <w:p>
            <w:pPr>
              <w:jc w:val="right"/>
              <w:ind w:right="512"/>
              <w:spacing w:after="0"/>
              <w:rPr>
                <w:sz w:val="20"/>
                <w:szCs w:val="20"/>
                <w:color w:val="auto"/>
              </w:rPr>
            </w:pPr>
            <w:r>
              <w:rPr>
                <w:rFonts w:ascii="Arial" w:cs="Arial" w:eastAsia="Arial" w:hAnsi="Arial"/>
                <w:sz w:val="14"/>
                <w:szCs w:val="14"/>
                <w:b w:val="1"/>
                <w:bCs w:val="1"/>
                <w:color w:val="auto"/>
              </w:rPr>
              <w:t>Shares Granted</w:t>
            </w:r>
          </w:p>
        </w:tc>
        <w:tc>
          <w:tcPr>
            <w:tcW w:w="120" w:type="dxa"/>
            <w:vAlign w:val="bottom"/>
          </w:tcPr>
          <w:p>
            <w:pPr>
              <w:spacing w:after="0"/>
              <w:rPr>
                <w:sz w:val="15"/>
                <w:szCs w:val="15"/>
                <w:color w:val="auto"/>
              </w:rPr>
            </w:pPr>
          </w:p>
        </w:tc>
        <w:tc>
          <w:tcPr>
            <w:tcW w:w="2280" w:type="dxa"/>
            <w:vAlign w:val="bottom"/>
            <w:gridSpan w:val="2"/>
          </w:tcPr>
          <w:p>
            <w:pPr>
              <w:ind w:left="480"/>
              <w:spacing w:after="0"/>
              <w:rPr>
                <w:sz w:val="20"/>
                <w:szCs w:val="20"/>
                <w:color w:val="auto"/>
              </w:rPr>
            </w:pPr>
            <w:r>
              <w:rPr>
                <w:rFonts w:ascii="Arial" w:cs="Arial" w:eastAsia="Arial" w:hAnsi="Arial"/>
                <w:sz w:val="14"/>
                <w:szCs w:val="14"/>
                <w:b w:val="1"/>
                <w:bCs w:val="1"/>
                <w:color w:val="auto"/>
              </w:rPr>
              <w:t>Share Purchase Price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Common Shares</w:t>
            </w:r>
          </w:p>
        </w:tc>
        <w:tc>
          <w:tcPr>
            <w:tcW w:w="1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Valuation</w:t>
            </w:r>
          </w:p>
        </w:tc>
      </w:tr>
      <w:tr>
        <w:trPr>
          <w:trHeight w:val="95"/>
        </w:trPr>
        <w:tc>
          <w:tcPr>
            <w:tcW w:w="2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r>
      <w:tr>
        <w:trPr>
          <w:trHeight w:val="309"/>
        </w:trPr>
        <w:tc>
          <w:tcPr>
            <w:tcW w:w="2520" w:type="dxa"/>
            <w:vAlign w:val="bottom"/>
          </w:tcPr>
          <w:p>
            <w:pPr>
              <w:jc w:val="center"/>
              <w:ind w:right="1357"/>
              <w:spacing w:after="0"/>
              <w:rPr>
                <w:sz w:val="20"/>
                <w:szCs w:val="20"/>
                <w:color w:val="auto"/>
              </w:rPr>
            </w:pPr>
            <w:r>
              <w:rPr>
                <w:rFonts w:ascii="Arial" w:cs="Arial" w:eastAsia="Arial" w:hAnsi="Arial"/>
                <w:sz w:val="18"/>
                <w:szCs w:val="18"/>
                <w:color w:val="auto"/>
                <w:w w:val="89"/>
              </w:rPr>
              <w:t>August 1, 2005</w:t>
            </w:r>
          </w:p>
        </w:tc>
        <w:tc>
          <w:tcPr>
            <w:tcW w:w="2180" w:type="dxa"/>
            <w:vAlign w:val="bottom"/>
            <w:gridSpan w:val="2"/>
          </w:tcPr>
          <w:p>
            <w:pPr>
              <w:jc w:val="right"/>
              <w:ind w:right="272"/>
              <w:spacing w:after="0"/>
              <w:rPr>
                <w:sz w:val="20"/>
                <w:szCs w:val="20"/>
                <w:color w:val="auto"/>
              </w:rPr>
            </w:pPr>
            <w:r>
              <w:rPr>
                <w:rFonts w:ascii="Arial" w:cs="Arial" w:eastAsia="Arial" w:hAnsi="Arial"/>
                <w:sz w:val="18"/>
                <w:szCs w:val="18"/>
                <w:color w:val="auto"/>
              </w:rPr>
              <w:t>1,955,100</w:t>
            </w:r>
          </w:p>
        </w:tc>
        <w:tc>
          <w:tcPr>
            <w:tcW w:w="120" w:type="dxa"/>
            <w:vAlign w:val="bottom"/>
          </w:tcPr>
          <w:p>
            <w:pPr>
              <w:spacing w:after="0"/>
              <w:rPr>
                <w:sz w:val="24"/>
                <w:szCs w:val="24"/>
                <w:color w:val="auto"/>
              </w:rPr>
            </w:pP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RMB2.00 (US$0.2)</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US$1.80</w:t>
            </w:r>
          </w:p>
        </w:tc>
        <w:tc>
          <w:tcPr>
            <w:tcW w:w="216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w:t>
            </w:r>
          </w:p>
        </w:tc>
      </w:tr>
      <w:tr>
        <w:trPr>
          <w:trHeight w:val="216"/>
        </w:trPr>
        <w:tc>
          <w:tcPr>
            <w:tcW w:w="2520" w:type="dxa"/>
            <w:vAlign w:val="bottom"/>
          </w:tcPr>
          <w:p>
            <w:pPr>
              <w:jc w:val="center"/>
              <w:ind w:right="1357"/>
              <w:spacing w:after="0"/>
              <w:rPr>
                <w:sz w:val="20"/>
                <w:szCs w:val="20"/>
                <w:color w:val="auto"/>
              </w:rPr>
            </w:pPr>
            <w:r>
              <w:rPr>
                <w:rFonts w:ascii="Arial" w:cs="Arial" w:eastAsia="Arial" w:hAnsi="Arial"/>
                <w:sz w:val="18"/>
                <w:szCs w:val="18"/>
                <w:color w:val="auto"/>
                <w:w w:val="89"/>
              </w:rPr>
              <w:t>August 1, 2005</w:t>
            </w:r>
          </w:p>
        </w:tc>
        <w:tc>
          <w:tcPr>
            <w:tcW w:w="2180" w:type="dxa"/>
            <w:vAlign w:val="bottom"/>
            <w:gridSpan w:val="2"/>
          </w:tcPr>
          <w:p>
            <w:pPr>
              <w:jc w:val="right"/>
              <w:ind w:right="272"/>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18"/>
                <w:szCs w:val="18"/>
                <w:color w:val="auto"/>
              </w:rPr>
            </w:pP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US$1.80</w:t>
            </w:r>
          </w:p>
        </w:tc>
        <w:tc>
          <w:tcPr>
            <w:tcW w:w="216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w:t>
            </w:r>
          </w:p>
        </w:tc>
      </w:tr>
      <w:tr>
        <w:trPr>
          <w:trHeight w:val="222"/>
        </w:trPr>
        <w:tc>
          <w:tcPr>
            <w:tcW w:w="2520" w:type="dxa"/>
            <w:vAlign w:val="bottom"/>
          </w:tcPr>
          <w:p>
            <w:pPr>
              <w:jc w:val="center"/>
              <w:ind w:right="1317"/>
              <w:spacing w:after="0"/>
              <w:rPr>
                <w:sz w:val="20"/>
                <w:szCs w:val="20"/>
                <w:color w:val="auto"/>
              </w:rPr>
            </w:pPr>
            <w:r>
              <w:rPr>
                <w:rFonts w:ascii="Arial" w:cs="Arial" w:eastAsia="Arial" w:hAnsi="Arial"/>
                <w:sz w:val="18"/>
                <w:szCs w:val="18"/>
                <w:color w:val="auto"/>
                <w:w w:val="93"/>
              </w:rPr>
              <w:t>April 26, 2006</w:t>
            </w:r>
          </w:p>
        </w:tc>
        <w:tc>
          <w:tcPr>
            <w:tcW w:w="2180" w:type="dxa"/>
            <w:vAlign w:val="bottom"/>
            <w:gridSpan w:val="2"/>
          </w:tcPr>
          <w:p>
            <w:pPr>
              <w:jc w:val="right"/>
              <w:ind w:right="272"/>
              <w:spacing w:after="0"/>
              <w:rPr>
                <w:sz w:val="20"/>
                <w:szCs w:val="20"/>
                <w:color w:val="auto"/>
              </w:rPr>
            </w:pPr>
            <w:r>
              <w:rPr>
                <w:rFonts w:ascii="Arial" w:cs="Arial" w:eastAsia="Arial" w:hAnsi="Arial"/>
                <w:sz w:val="18"/>
                <w:szCs w:val="18"/>
                <w:color w:val="auto"/>
              </w:rPr>
              <w:t>2,507,400</w:t>
            </w:r>
          </w:p>
        </w:tc>
        <w:tc>
          <w:tcPr>
            <w:tcW w:w="120" w:type="dxa"/>
            <w:vAlign w:val="bottom"/>
          </w:tcPr>
          <w:p>
            <w:pPr>
              <w:spacing w:after="0"/>
              <w:rPr>
                <w:sz w:val="19"/>
                <w:szCs w:val="19"/>
                <w:color w:val="auto"/>
              </w:rPr>
            </w:pP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RMB4.00 (US$0.4)</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US$2.09</w:t>
            </w:r>
          </w:p>
        </w:tc>
        <w:tc>
          <w:tcPr>
            <w:tcW w:w="216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607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Retrospective valuation by the independent appraiser.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Contemporaneous valuation by the independent appraiser.</w:t>
      </w:r>
    </w:p>
    <w:p>
      <w:pPr>
        <w:spacing w:after="0" w:line="15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addition, we have granted options to our employees and directors since we adopted our 2006 Share Incentive Plan in January 2006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Common</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Underlying</w:t>
            </w: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Fair Value of</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74"/>
        </w:trPr>
        <w:tc>
          <w:tcPr>
            <w:tcW w:w="2520" w:type="dxa"/>
            <w:vAlign w:val="bottom"/>
          </w:tcPr>
          <w:p>
            <w:pPr>
              <w:jc w:val="right"/>
              <w:ind w:right="839"/>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120" w:type="dxa"/>
            <w:vAlign w:val="bottom"/>
          </w:tcPr>
          <w:p>
            <w:pPr>
              <w:spacing w:after="0"/>
              <w:rPr>
                <w:sz w:val="15"/>
                <w:szCs w:val="15"/>
                <w:color w:val="auto"/>
              </w:rPr>
            </w:pPr>
          </w:p>
        </w:tc>
        <w:tc>
          <w:tcPr>
            <w:tcW w:w="2180" w:type="dxa"/>
            <w:vAlign w:val="bottom"/>
          </w:tcPr>
          <w:p>
            <w:pPr>
              <w:ind w:left="460"/>
              <w:spacing w:after="0"/>
              <w:rPr>
                <w:sz w:val="20"/>
                <w:szCs w:val="20"/>
                <w:color w:val="auto"/>
              </w:rPr>
            </w:pPr>
            <w:r>
              <w:rPr>
                <w:rFonts w:ascii="Arial" w:cs="Arial" w:eastAsia="Arial" w:hAnsi="Arial"/>
                <w:sz w:val="14"/>
                <w:szCs w:val="14"/>
                <w:b w:val="1"/>
                <w:bCs w:val="1"/>
                <w:color w:val="auto"/>
              </w:rPr>
              <w:t>Option Exercise Price</w:t>
            </w:r>
          </w:p>
        </w:tc>
        <w:tc>
          <w:tcPr>
            <w:tcW w:w="1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Common Shares</w:t>
            </w:r>
          </w:p>
        </w:tc>
        <w:tc>
          <w:tcPr>
            <w:tcW w:w="1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Valuation</w:t>
            </w:r>
          </w:p>
        </w:tc>
      </w:tr>
      <w:tr>
        <w:trPr>
          <w:trHeight w:val="95"/>
        </w:trPr>
        <w:tc>
          <w:tcPr>
            <w:tcW w:w="2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r>
      <w:tr>
        <w:trPr>
          <w:trHeight w:val="309"/>
        </w:trPr>
        <w:tc>
          <w:tcPr>
            <w:tcW w:w="2520" w:type="dxa"/>
            <w:vAlign w:val="bottom"/>
          </w:tcPr>
          <w:p>
            <w:pPr>
              <w:jc w:val="right"/>
              <w:ind w:right="139"/>
              <w:spacing w:after="0"/>
              <w:rPr>
                <w:sz w:val="20"/>
                <w:szCs w:val="20"/>
                <w:color w:val="auto"/>
              </w:rPr>
            </w:pPr>
            <w:r>
              <w:rPr>
                <w:rFonts w:ascii="Arial" w:cs="Arial" w:eastAsia="Arial" w:hAnsi="Arial"/>
                <w:sz w:val="18"/>
                <w:szCs w:val="18"/>
                <w:color w:val="auto"/>
              </w:rPr>
              <w:t>February 28, 2006</w:t>
            </w:r>
          </w:p>
        </w:tc>
        <w:tc>
          <w:tcPr>
            <w:tcW w:w="2180" w:type="dxa"/>
            <w:vAlign w:val="bottom"/>
            <w:gridSpan w:val="2"/>
          </w:tcPr>
          <w:p>
            <w:pPr>
              <w:jc w:val="right"/>
              <w:ind w:right="272"/>
              <w:spacing w:after="0"/>
              <w:rPr>
                <w:sz w:val="20"/>
                <w:szCs w:val="20"/>
                <w:color w:val="auto"/>
              </w:rPr>
            </w:pPr>
            <w:r>
              <w:rPr>
                <w:rFonts w:ascii="Arial" w:cs="Arial" w:eastAsia="Arial" w:hAnsi="Arial"/>
                <w:sz w:val="18"/>
                <w:szCs w:val="18"/>
                <w:color w:val="auto"/>
              </w:rPr>
              <w:t>7,099,500</w:t>
            </w:r>
          </w:p>
        </w:tc>
        <w:tc>
          <w:tcPr>
            <w:tcW w:w="120" w:type="dxa"/>
            <w:vAlign w:val="bottom"/>
          </w:tcPr>
          <w:p>
            <w:pPr>
              <w:spacing w:after="0"/>
              <w:rPr>
                <w:sz w:val="24"/>
                <w:szCs w:val="24"/>
                <w:color w:val="auto"/>
              </w:rPr>
            </w:pPr>
          </w:p>
        </w:tc>
        <w:tc>
          <w:tcPr>
            <w:tcW w:w="2180" w:type="dxa"/>
            <w:vAlign w:val="bottom"/>
          </w:tcPr>
          <w:p>
            <w:pPr>
              <w:ind w:left="1200"/>
              <w:spacing w:after="0"/>
              <w:rPr>
                <w:sz w:val="20"/>
                <w:szCs w:val="20"/>
                <w:color w:val="auto"/>
              </w:rPr>
            </w:pPr>
            <w:r>
              <w:rPr>
                <w:rFonts w:ascii="Arial" w:cs="Arial" w:eastAsia="Arial" w:hAnsi="Arial"/>
                <w:sz w:val="18"/>
                <w:szCs w:val="18"/>
                <w:color w:val="auto"/>
              </w:rPr>
              <w:t>US$2.02</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US$1.99</w:t>
            </w:r>
          </w:p>
        </w:tc>
        <w:tc>
          <w:tcPr>
            <w:tcW w:w="216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w:t>
            </w:r>
          </w:p>
        </w:tc>
      </w:tr>
      <w:tr>
        <w:trPr>
          <w:trHeight w:val="222"/>
        </w:trPr>
        <w:tc>
          <w:tcPr>
            <w:tcW w:w="2520" w:type="dxa"/>
            <w:vAlign w:val="bottom"/>
          </w:tcPr>
          <w:p>
            <w:pPr>
              <w:jc w:val="right"/>
              <w:ind w:right="139"/>
              <w:spacing w:after="0"/>
              <w:rPr>
                <w:sz w:val="20"/>
                <w:szCs w:val="20"/>
                <w:color w:val="auto"/>
              </w:rPr>
            </w:pPr>
            <w:r>
              <w:rPr>
                <w:rFonts w:ascii="Arial" w:cs="Arial" w:eastAsia="Arial" w:hAnsi="Arial"/>
                <w:sz w:val="18"/>
                <w:szCs w:val="18"/>
                <w:color w:val="auto"/>
              </w:rPr>
              <w:t>July 21, 2006</w:t>
            </w:r>
          </w:p>
        </w:tc>
        <w:tc>
          <w:tcPr>
            <w:tcW w:w="2180" w:type="dxa"/>
            <w:vAlign w:val="bottom"/>
            <w:gridSpan w:val="2"/>
          </w:tcPr>
          <w:p>
            <w:pPr>
              <w:jc w:val="right"/>
              <w:ind w:right="272"/>
              <w:spacing w:after="0"/>
              <w:rPr>
                <w:sz w:val="20"/>
                <w:szCs w:val="20"/>
                <w:color w:val="auto"/>
              </w:rPr>
            </w:pPr>
            <w:r>
              <w:rPr>
                <w:rFonts w:ascii="Arial" w:cs="Arial" w:eastAsia="Arial" w:hAnsi="Arial"/>
                <w:sz w:val="18"/>
                <w:szCs w:val="18"/>
                <w:color w:val="auto"/>
              </w:rPr>
              <w:t>1,620,000</w:t>
            </w:r>
          </w:p>
        </w:tc>
        <w:tc>
          <w:tcPr>
            <w:tcW w:w="120" w:type="dxa"/>
            <w:vAlign w:val="bottom"/>
          </w:tcPr>
          <w:p>
            <w:pPr>
              <w:spacing w:after="0"/>
              <w:rPr>
                <w:sz w:val="19"/>
                <w:szCs w:val="19"/>
                <w:color w:val="auto"/>
              </w:rPr>
            </w:pPr>
          </w:p>
        </w:tc>
        <w:tc>
          <w:tcPr>
            <w:tcW w:w="2180" w:type="dxa"/>
            <w:vAlign w:val="bottom"/>
          </w:tcPr>
          <w:p>
            <w:pPr>
              <w:ind w:left="1200"/>
              <w:spacing w:after="0"/>
              <w:rPr>
                <w:sz w:val="20"/>
                <w:szCs w:val="20"/>
                <w:color w:val="auto"/>
              </w:rPr>
            </w:pPr>
            <w:r>
              <w:rPr>
                <w:rFonts w:ascii="Arial" w:cs="Arial" w:eastAsia="Arial" w:hAnsi="Arial"/>
                <w:sz w:val="18"/>
                <w:szCs w:val="18"/>
                <w:color w:val="auto"/>
              </w:rPr>
              <w:t>US$2.38</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US$2.38</w:t>
            </w:r>
          </w:p>
        </w:tc>
        <w:tc>
          <w:tcPr>
            <w:tcW w:w="216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607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Retrospective valuation by the independent appraiser.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Contemporaneous valuation by the independent appraiser.</w:t>
      </w:r>
    </w:p>
    <w:p>
      <w:pPr>
        <w:spacing w:after="0" w:line="15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independent appraiser has used a combination of the income approach, also known as the discounted cash flow, or DCF, approach, and the market approach to assess the fair value of common shares underlying the options we granted in 2006 and the restricted shares we granted in 2005.</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major assumptions used by the independent appraiser in calculating the fair values are as follows:</w:t>
      </w:r>
    </w:p>
    <w:p>
      <w:pPr>
        <w:spacing w:after="0" w:line="158" w:lineRule="exact"/>
        <w:rPr>
          <w:sz w:val="20"/>
          <w:szCs w:val="20"/>
          <w:color w:val="auto"/>
        </w:rPr>
      </w:pPr>
    </w:p>
    <w:p>
      <w:pPr>
        <w:ind w:left="780" w:right="440" w:hanging="326"/>
        <w:spacing w:after="0" w:line="325" w:lineRule="auto"/>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Weight of DCF and market multiples: The independent appraiser assigned 55% weight to DCF approach and 45% weight to the market multiples approach because we had achieved better visibility of future earnings at the time, which made the DCF approach more meaningful.</w:t>
      </w:r>
    </w:p>
    <w:p>
      <w:pPr>
        <w:spacing w:after="0" w:line="1" w:lineRule="exact"/>
        <w:rPr>
          <w:rFonts w:ascii="Arial" w:cs="Arial" w:eastAsia="Arial" w:hAnsi="Arial"/>
          <w:sz w:val="16"/>
          <w:szCs w:val="16"/>
          <w:color w:val="auto"/>
        </w:rPr>
      </w:pPr>
    </w:p>
    <w:p>
      <w:pPr>
        <w:ind w:left="780" w:right="160" w:hanging="326"/>
        <w:spacing w:after="0" w:line="259"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Weighted average costs of capital, or WACC: WACC of between 15% and 17% were used. The WACC used increased from 16% in January 2003 to 17% in May 2006. This was the combined result of the changes in risk-free rate, industry average beta, and the decrease in our company-specific risk as we continued to grow and meet important milestones.</w:t>
      </w:r>
    </w:p>
    <w:p>
      <w:pPr>
        <w:spacing w:after="0" w:line="45"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market valuation multiples: The independent appraiser obtained and assessed updated capital market valuation data of comparable U.S. companies.</w:t>
      </w:r>
    </w:p>
    <w:p>
      <w:pPr>
        <w:spacing w:after="0" w:line="37" w:lineRule="exact"/>
        <w:rPr>
          <w:rFonts w:ascii="Arial" w:cs="Arial" w:eastAsia="Arial" w:hAnsi="Arial"/>
          <w:sz w:val="18"/>
          <w:szCs w:val="18"/>
          <w:color w:val="auto"/>
        </w:rPr>
      </w:pPr>
    </w:p>
    <w:p>
      <w:pPr>
        <w:jc w:val="both"/>
        <w:ind w:left="780" w:hanging="326"/>
        <w:spacing w:after="0" w:line="306" w:lineRule="auto"/>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Discount for lack of marketability, or DLOM: We quantified the DLOM by the Black-Scholes option-pricing model. This method treats the right to sell the company shares freely before a liquidity event as a put option. The farther the valuation date is from a liquidation event, the higher the option value and thus the higher the implied DLOM. The independent appraiser determined that DLOM decreased from 39% in January 2003 to 8% in May 2006.</w:t>
      </w:r>
    </w:p>
    <w:p>
      <w:pPr>
        <w:spacing w:after="0" w:line="9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independent appraiser determines the fair value of the options using the Black-Scholes option pricing model at each option grant date under the following assumptions: 50.17% to 53.93% volatility, no dividends, a risk-free interest rate of 2.45% to 2.56%, and an expected option life of 5 to 6.5 years. If different assumptions were used, our share-based compensation expenses, net income and income per share could have been significantly different.</w:t>
      </w:r>
    </w:p>
    <w:p>
      <w:pPr>
        <w:spacing w:after="0" w:line="9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increase in the fair value of our common shares from August 2005 to February 2006 was primarily attributable to the following developments of our company during the period:</w:t>
      </w:r>
    </w:p>
    <w:p>
      <w:pPr>
        <w:spacing w:after="0" w:line="37" w:lineRule="exact"/>
        <w:rPr>
          <w:sz w:val="20"/>
          <w:szCs w:val="20"/>
          <w:color w:val="auto"/>
        </w:rPr>
      </w:pPr>
    </w:p>
    <w:p>
      <w:pPr>
        <w:ind w:left="780" w:hanging="326"/>
        <w:spacing w:after="0" w:line="259"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second quarter of our fiscal year 2006, we generated net revenues of RMB127.2 million, a 12.9% increase over the same quarterly period in the prior fiscal year, and the total number of students who completed our courses reached 90,000, an increase of 4.4% over the same quarterly period in the prior fiscal year;</w:t>
      </w:r>
    </w:p>
    <w:p>
      <w:pPr>
        <w:spacing w:after="0" w:line="45"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third quarter of our fiscal year 2006, we generated net revenues of RMB168.6 million, a 19.1% increase over the same quarterly period in the prior fiscal year, and the total number of students who completed our courses reached 241,000, a 9.0% increase over the same quarterly period in the prior fiscal year;</w:t>
      </w:r>
    </w:p>
    <w:p>
      <w:pPr>
        <w:spacing w:after="0" w:line="45"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May 31, 2005, we had 15 schools and 75 learning centers, and opened seven new schools and 27 new learning centers during the period from May 31, 2005 to February 28, 2006;</w:t>
      </w:r>
    </w:p>
    <w:p>
      <w:pPr>
        <w:spacing w:after="0" w:line="37" w:lineRule="exact"/>
        <w:rPr>
          <w:rFonts w:ascii="Arial" w:cs="Arial" w:eastAsia="Arial" w:hAnsi="Arial"/>
          <w:sz w:val="18"/>
          <w:szCs w:val="18"/>
          <w:color w:val="auto"/>
        </w:rPr>
      </w:pPr>
    </w:p>
    <w:p>
      <w:pPr>
        <w:ind w:left="780" w:right="300" w:hanging="326"/>
        <w:spacing w:after="0" w:line="259"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the end of 2005, we were named the “Most Influential Education Brand in Beijing” by 10 major media sources, and the “2005 Top Ten Branded Education Companies” by 25 national media sources, including Sina.com and Sohu.com, which are among the largest Chinese language Internet portals; and</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December 2005, we hired a new chief financial officer to lead our finance, internal audit and legal departments.</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increase in the fair value of our common shares from February 2006 to April 2006 was primarily attributable to the following developments of our company during the period:</w:t>
      </w:r>
    </w:p>
    <w:p>
      <w:pPr>
        <w:spacing w:after="0" w:line="37" w:lineRule="exact"/>
        <w:rPr>
          <w:sz w:val="20"/>
          <w:szCs w:val="20"/>
          <w:color w:val="auto"/>
        </w:rPr>
      </w:pPr>
    </w:p>
    <w:p>
      <w:pPr>
        <w:ind w:left="780" w:right="16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fourth quarter of our fiscal year 2006, we generated net revenues of RMB147.6 million, a 20.8% increase over the same quarterly period in the prior fiscal year;</w:t>
      </w:r>
    </w:p>
    <w:p>
      <w:pPr>
        <w:spacing w:after="0" w:line="37"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fourth quarter of our fiscal year 2006, the total number of students who completed our courses amounted to approximately 124,000, a 26.5% increase over the same quarterly period in the prior fiscal year;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Between February 28, 2006 and May 31, 2006, we opened three new schools and 10 additional learning centers.</w:t>
      </w:r>
    </w:p>
    <w:p>
      <w:pPr>
        <w:spacing w:after="0" w:line="1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Although it is reasonable to expect that the completion of this offering may increase the value of our common shares underlying our outstanding options as a result of their increased liquidity and marketability, the amount of such additional value cannot be measured with precision or certainty.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are incorporated in the Cayman Islands. Under the current law of the Cayman Islands, we are not subject to income or capital gains tax. In addition, dividend payments are not subject to withholding tax in the Cayman Islands.</w:t>
      </w:r>
    </w:p>
    <w:p>
      <w:pPr>
        <w:spacing w:after="0" w:line="118"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Other than our primary and secondary school, our subsidiaries and affiliated entities in China are subject to a 3% to 5% business tax on gross revenues generated from providing services and related surcharges, and a value-added tax at varying rates ranging from 4% to 17% on gross revenues from sales of books, educational software and other products. With regard to income tax, according to the Implementation Rules for The Law for Promoting Private Education (2004), private schools that do not require reasonable returns are entitled to the same preferential tax treatment as public schools, while preferential tax treatment policies applicable to private schools requiring reasonable returns shall be separately formulated by the relevant authorities under the State Council. To date, however, no separate regulations or policies have been promulgated by the relevant authorities in this regard. See “Regulations.” As a result, preferential tax treatments for our schools vary among different cities. In some cities, our schools are subject to a 33% standard enterprise income tax, while in other cities, our schools are subject to a 2.0% to 3.5% tax on gross receipts in lieu of the 33% standard enterprise income tax or are exempted from the enterprise income tax. Among our schools in the four major cities from which we derived a majority of our revenues in each of the past three fiscal years ended May 31, 2006, our school in Wuhan is subject to the 33% standard enterprise income tax. New Oriental China’s subsidiaries other than schools are either subject to the standard enterprise income tax rate, which currently is 33%, or subject to various preferential income tax rates approved by local taxation authorities.</w:t>
      </w:r>
    </w:p>
    <w:p>
      <w:pPr>
        <w:spacing w:after="0" w:line="9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New Oriental China and our three wholly owned subsidiaries in China are certified “new or high-technology enterprises” located in a high-tech zone in Beijing as their primary sources of revenues are educational software development and educational technology development and implementation. As a result, each of them is entitled to a three-year exemption from enterprise income tax beginning from its first year of operation, a 7.5% enterprise income tax rate for the subsequent three years followed by a 15% tax rate so long as it continues to qualify as a “new or high-technology enterprise.” New Oriental China was exempted from enterprise income tax from 2002 to 2004, is subject to a 7.5% enterprise income tax in 2005, 2006 and 2007, and will be subject to a 15% enterprise income tax after 2007 as long as it continues to qualify as a “new or high-technology enterprise.” Each of our three wholly owned subsidiaries in China was established in 2005 and thus is exempted from enterprise income tax from 2005 to 2007, and will be subject to a 7.5% enterprise income tax from 2008 to 2010 and a 15% enterprise income tax thereafter as long as it continues to qualify as a “new or high-technology enterprise.”</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Preferential tax treatments granted to our schools by local governmental authorities are subject to review and may be adjusted or revoked at any time. In addition, if the government regulations or authorities were to phase out preferential tax benefits currently granted to “new or high-technology enterprises,” New Oriental China and our wholly owned subsidiaries in China would be subject to the standard statutory tax rate, which currently is 33%. The discontinuation of any preferential tax treatments currently available to our schools, especially those schools in major cities, and to New Oriental China and our wholly owned subsidiaries, will cause our effective tax rate to increase, which could have a material adverse effect on our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6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audits of our consolidated financial statements for the fiscal years ended May 31, 2004 and 2005, our independent registered public accounting firm identified a number of control deficiencies, as defined in the Public Company Accounting Oversight Board’s Audit Standard No. 2. The control deficiencies identified by our independent registered public accounting firm include: (i) the lack of sufficient financial reporting and accounting personnel to fulfill the post-offering U.S. GAAP reporting requirements; (ii) the lack of a centralized comprehensive accounting policies and procedures manual prepared in accordance with U.S. GAAP to guide the day-to-day operations of accounting and finance personnel; and (iii) the lack of systematic monthly closing procedures.</w:t>
      </w:r>
    </w:p>
    <w:p>
      <w:pPr>
        <w:spacing w:after="0" w:line="102" w:lineRule="exact"/>
        <w:rPr>
          <w:sz w:val="20"/>
          <w:szCs w:val="20"/>
          <w:color w:val="auto"/>
        </w:rPr>
      </w:pPr>
    </w:p>
    <w:p>
      <w:pPr>
        <w:jc w:val="both"/>
        <w:ind w:right="100" w:firstLine="456"/>
        <w:spacing w:after="0" w:line="305" w:lineRule="auto"/>
        <w:rPr>
          <w:sz w:val="20"/>
          <w:szCs w:val="20"/>
          <w:color w:val="auto"/>
        </w:rPr>
      </w:pPr>
      <w:r>
        <w:rPr>
          <w:rFonts w:ascii="Arial" w:cs="Arial" w:eastAsia="Arial" w:hAnsi="Arial"/>
          <w:sz w:val="15"/>
          <w:szCs w:val="15"/>
          <w:color w:val="auto"/>
        </w:rPr>
        <w:t>We have taken measures and plan to continue to take measures to remediate these deficiencies as soon as practicable. We have implemented the following measures to remediate the deficiencies: (i) hiring and training of qualified financial reporting and accounting personnel with experience in U.S. GAAP reporting;</w:t>
      </w:r>
    </w:p>
    <w:p>
      <w:pPr>
        <w:ind w:right="520" w:firstLine="8"/>
        <w:spacing w:after="0" w:line="302" w:lineRule="auto"/>
        <w:tabs>
          <w:tab w:leader="none" w:pos="2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developing a comprehensive accounting policies and procedures manual to guide the day-to-day operations of accounting and finance personnel; (iii) establishing a new computerized enrollment system to timely track course enrollment and other relevant operating data across our school network; and (iv) strengthening our internal audit team to monitor the implementation of our policies and procedures.</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addition, under the supervision and with the participation of our senior management, including our chief executive officer and chief financial officer, we are in the process of conducting further evaluations of our internal control over financial reporting for compliance with the requirements of Section 404 under the Sarbanes-Oxley Act. We plan to engage an external consultant to assist us in evaluating, designing, implementing and testing our internal controls over financial reporting intended to comply with the requirements of Section 404.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Liandong Weiye</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established Beijing Liandong Weiye Technology Development Co., Ltd, or Liandong Weiye, a company engaged in the wireless application protocol, or WAP, business, in 2000. We and Yongqiang Qian, a director of our company, owned 96.2% and 3.8% in Liandong Weiye, respectively, prior to March 2005. As a result of our annual strategic planning and business planning process in November and December 2004, we decided to focus on our core business of providing educational services and to divest businesses unrelated to educational services. As a result, we decided to either dispose of our WAP business or cease our WAP-related operations in an expedited manner. In March 2005, we sold a 56.2% interest in Liandong Weiye to Mr. Qian for a cash consideration of RMB5.1 million, which represented the book value of the net assets sold. This price was determined based on our extensive negotiations with Mr. Qian and approved by all of our non-interested directors. Accordingly, no gain or loss was recorded as a result of this transaction. In August 2005, we disposed of the remaining interest in Liandong Weiye by spinning off this interest to a newly created entity that was owned by the same shareholders of our company for nil consideration. This transaction was recorded as a sale of assets between entities under common control. Accordingly, we recorded a dividend in kind of RMB25.5 million, which represented the book value of our equity interest in Liandong Weiye as of the spin-off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sets forth our unaudited consolidated selected quarterly results of operations for the eight fiscal quarters ended May 31, 2006. You should read the following table in conjunction with our audited financial statements and related notes included elsewhere in this prospectus. We have prepared the unaudited consolidated financial information on the same basis as our audited consolidated financial statements. The unaudited consolidated financial information includes all adjustments, consisting only of normal recurring adjustments, that we consider necessary for a fair presentation of our financial position and operating results for the quarters presented.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1"/>
              </w:rPr>
              <w:t>For the Fiscal Quarter Ended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August 31,</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November 30,</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February 28,</w:t>
            </w:r>
          </w:p>
        </w:tc>
        <w:tc>
          <w:tcPr>
            <w:tcW w:w="1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May 31,</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August 31,</w:t>
            </w: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November 30,</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February 28,</w:t>
            </w:r>
          </w:p>
        </w:tc>
        <w:tc>
          <w:tcPr>
            <w:tcW w:w="10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74"/>
        </w:trPr>
        <w:tc>
          <w:tcPr>
            <w:tcW w:w="3340" w:type="dxa"/>
            <w:vAlign w:val="bottom"/>
            <w:gridSpan w:val="5"/>
          </w:tcPr>
          <w:p>
            <w:pPr>
              <w:spacing w:after="0"/>
              <w:rPr>
                <w:sz w:val="20"/>
                <w:szCs w:val="20"/>
                <w:color w:val="auto"/>
              </w:rPr>
            </w:pPr>
            <w:r>
              <w:rPr>
                <w:rFonts w:ascii="Arial" w:cs="Arial" w:eastAsia="Arial" w:hAnsi="Arial"/>
                <w:sz w:val="14"/>
                <w:szCs w:val="14"/>
                <w:i w:val="1"/>
                <w:iCs w:val="1"/>
                <w:color w:val="auto"/>
              </w:rPr>
              <w:t>(in RMB thousands)</w:t>
            </w: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Revenues: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420"/>
              <w:spacing w:after="0"/>
              <w:rPr>
                <w:sz w:val="20"/>
                <w:szCs w:val="20"/>
                <w:color w:val="auto"/>
              </w:rPr>
            </w:pPr>
            <w:r>
              <w:rPr>
                <w:rFonts w:ascii="Arial" w:cs="Arial" w:eastAsia="Arial" w:hAnsi="Arial"/>
                <w:sz w:val="18"/>
                <w:szCs w:val="18"/>
                <w:color w:val="auto"/>
              </w:rPr>
              <w:t>Educational programs and services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258,808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104,370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136,068</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107,566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314,821</w:t>
            </w: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114,714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160,890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131,072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Books and others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266,815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112,698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141,574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122,183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326,842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127,223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168,552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147,642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line="217" w:lineRule="exact"/>
              <w:rPr>
                <w:sz w:val="20"/>
                <w:szCs w:val="20"/>
                <w:color w:val="auto"/>
              </w:rPr>
            </w:pPr>
            <w:r>
              <w:rPr>
                <w:rFonts w:ascii="Arial" w:cs="Arial" w:eastAsia="Arial" w:hAnsi="Arial"/>
                <w:sz w:val="18"/>
                <w:szCs w:val="18"/>
                <w:color w:val="auto"/>
              </w:rPr>
              <w:t>Operating costs and expenses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(100,339)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(49,718)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(59,567)</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(64,066)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(113,773)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(61,142)</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(74,829)</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(71,151)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420"/>
              <w:spacing w:after="0"/>
              <w:rPr>
                <w:sz w:val="20"/>
                <w:szCs w:val="20"/>
                <w:color w:val="auto"/>
              </w:rPr>
            </w:pPr>
            <w:r>
              <w:rPr>
                <w:rFonts w:ascii="Arial" w:cs="Arial" w:eastAsia="Arial" w:hAnsi="Arial"/>
                <w:sz w:val="18"/>
                <w:szCs w:val="18"/>
                <w:color w:val="auto"/>
              </w:rPr>
              <w:t>Selling and marketing</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(15,178)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(10,046)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(10,853)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(14,639)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(22,141)</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(13,314)</w:t>
            </w:r>
          </w:p>
        </w:tc>
        <w:tc>
          <w:tcPr>
            <w:tcW w:w="2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(20,584)</w:t>
            </w:r>
          </w:p>
        </w:tc>
        <w:tc>
          <w:tcPr>
            <w:tcW w:w="2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(26,082)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(44,463)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(45,613)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(71,361)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(46,330)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(95,489)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(62,909)</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(63,385)</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(81,301)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(159,980)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(105,377)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(141,781)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(125,035)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(231,403)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(137,365)</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(158,798)</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5"/>
              </w:rPr>
              <w:t>(178,534)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106,835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(2,852)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95,439</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(10,142)</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(30,892)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Other income (expense), net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(811)</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(1,244)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(3,136)</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(2,185)</w:t>
            </w:r>
          </w:p>
        </w:tc>
        <w:tc>
          <w:tcPr>
            <w:tcW w:w="2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(2,460)</w:t>
            </w:r>
          </w:p>
        </w:tc>
        <w:tc>
          <w:tcPr>
            <w:tcW w:w="2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(2,181)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(17,901)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102,624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6,263</w:t>
            </w: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(1,393)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(4,242)</w:t>
            </w:r>
          </w:p>
        </w:tc>
        <w:tc>
          <w:tcPr>
            <w:tcW w:w="640" w:type="dxa"/>
            <w:vAlign w:val="bottom"/>
          </w:tcPr>
          <w:p>
            <w:pPr>
              <w:jc w:val="right"/>
              <w:spacing w:after="0"/>
              <w:rPr>
                <w:sz w:val="20"/>
                <w:szCs w:val="20"/>
                <w:color w:val="auto"/>
              </w:rPr>
            </w:pPr>
            <w:r>
              <w:rPr>
                <w:rFonts w:ascii="Arial" w:cs="Arial" w:eastAsia="Arial" w:hAnsi="Arial"/>
                <w:sz w:val="18"/>
                <w:szCs w:val="18"/>
                <w:color w:val="auto"/>
              </w:rPr>
              <w:t>74,390</w:t>
            </w:r>
          </w:p>
        </w:tc>
        <w:tc>
          <w:tcPr>
            <w:tcW w:w="28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(10,465)</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10,154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(34,289)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on discontinued operations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106,275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82,201</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(8,681)</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(34,289)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3860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-172720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-172720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-172720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-172720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-172720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-172720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-172720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-172720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-172720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-172720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-172720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-172720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-172720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-172720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-172720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-172720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Share-based compensation expenses are included in our operating costs and expenses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20" w:type="dxa"/>
            <w:vAlign w:val="bottom"/>
          </w:tcPr>
          <w:p>
            <w:pPr>
              <w:ind w:left="440"/>
              <w:spacing w:after="0"/>
              <w:rPr>
                <w:sz w:val="20"/>
                <w:szCs w:val="20"/>
                <w:color w:val="auto"/>
              </w:rPr>
            </w:pPr>
            <w:r>
              <w:rPr>
                <w:rFonts w:ascii="Arial" w:cs="Arial" w:eastAsia="Arial" w:hAnsi="Arial"/>
                <w:sz w:val="18"/>
                <w:szCs w:val="18"/>
                <w:color w:val="auto"/>
              </w:rPr>
              <w:t>Cost of Revenues</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ind w:left="440"/>
              <w:spacing w:after="0"/>
              <w:rPr>
                <w:sz w:val="20"/>
                <w:szCs w:val="20"/>
                <w:color w:val="auto"/>
              </w:rPr>
            </w:pPr>
            <w:r>
              <w:rPr>
                <w:rFonts w:ascii="Arial" w:cs="Arial" w:eastAsia="Arial" w:hAnsi="Arial"/>
                <w:sz w:val="18"/>
                <w:szCs w:val="18"/>
                <w:color w:val="auto"/>
              </w:rPr>
              <w:t>—</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(65)</w:t>
            </w:r>
          </w:p>
        </w:tc>
        <w:tc>
          <w:tcPr>
            <w:tcW w:w="960" w:type="dxa"/>
            <w:vAlign w:val="bottom"/>
          </w:tcPr>
          <w:p>
            <w:pPr>
              <w:ind w:left="440"/>
              <w:spacing w:after="0"/>
              <w:rPr>
                <w:sz w:val="20"/>
                <w:szCs w:val="20"/>
                <w:color w:val="auto"/>
              </w:rPr>
            </w:pPr>
            <w:r>
              <w:rPr>
                <w:rFonts w:ascii="Arial" w:cs="Arial" w:eastAsia="Arial" w:hAnsi="Arial"/>
                <w:sz w:val="18"/>
                <w:szCs w:val="18"/>
                <w:color w:val="auto"/>
              </w:rPr>
              <w:t>—</w:t>
            </w:r>
          </w:p>
        </w:tc>
        <w:tc>
          <w:tcPr>
            <w:tcW w:w="900" w:type="dxa"/>
            <w:vAlign w:val="bottom"/>
          </w:tcPr>
          <w:p>
            <w:pPr>
              <w:ind w:left="4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(327)</w:t>
            </w:r>
          </w:p>
        </w:tc>
      </w:tr>
      <w:tr>
        <w:trPr>
          <w:trHeight w:val="217"/>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marketing</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(793)</w:t>
            </w:r>
          </w:p>
        </w:tc>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(617)</w:t>
            </w:r>
          </w:p>
        </w:tc>
      </w:tr>
      <w:tr>
        <w:trPr>
          <w:trHeight w:val="222"/>
        </w:trPr>
        <w:tc>
          <w:tcPr>
            <w:tcW w:w="30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ind w:left="440"/>
              <w:spacing w:after="0"/>
              <w:rPr>
                <w:sz w:val="20"/>
                <w:szCs w:val="20"/>
                <w:color w:val="auto"/>
              </w:rPr>
            </w:pPr>
            <w:r>
              <w:rPr>
                <w:rFonts w:ascii="Arial" w:cs="Arial" w:eastAsia="Arial" w:hAnsi="Arial"/>
                <w:sz w:val="18"/>
                <w:szCs w:val="18"/>
                <w:color w:val="auto"/>
              </w:rPr>
              <w:t>—</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(25,367)</w:t>
            </w:r>
          </w:p>
        </w:tc>
        <w:tc>
          <w:tcPr>
            <w:tcW w:w="960" w:type="dxa"/>
            <w:vAlign w:val="bottom"/>
          </w:tcPr>
          <w:p>
            <w:pPr>
              <w:ind w:left="4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(954)</w:t>
            </w: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(36,334)</w:t>
            </w:r>
          </w:p>
        </w:tc>
      </w:tr>
    </w:tbl>
    <w:p>
      <w:pPr>
        <w:spacing w:after="0" w:line="13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revenues and operating results normally fluctuate from quarter to quarter as a result of seasonal variations in our business. Historically, our courses generally had the largest student enrollments in our first fiscal quarter each year, primarily because many college, middle school and high school students enroll in our courses during the summer vacation to enhance their foreign language skills and/or prepare for admission and assessment tests in the subsequent school terms. In addition, we have generally experienced larger student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enrollments in our third fiscal quarter each year, primarily because many students enroll in our language training and other courses during the winter school holidays. Our revenues from books and others have generally been the highest in the fourth quarter of each fiscal year, as students buy books and other materials in anticipation of our summer courses.</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expenses vary significantly and do not necessarily correspond with changes in our student enrollments and revenues. We make investments in marketing, teacher training and development of programs, services and products throughout the year. We normally increase our marketing and promotional activities and teacher recruiting and training efforts during our fourth fiscal quarter to prepare for our peak season in the first fiscal quarter. Furthermore, we generally pay annual bonuses to our teachers and employees before the Chinese New Year in our third fiscal quarter based in part on our overall performance in the prior calendar year. These bonuses are recorded as general and administrative expenses. In the third fiscal quarter of 2005, our general and administrative expenses were also affected by a one-time payment of RMB6.5 million to the plaintiffs in a lawsuit against us. See “Risk Factors—Risks Related to Our Business —Third parties have in the past brought intellectual property infringement claims against us based on the content of the books and other teaching or marketing materials that we or our teachers authored and/or distributed and may bring similar claims against us in the future” for a discussion of this lawsuit. Beginning from the third fiscal quarter of 2006, we implemented a refined accounting process in allocating our operating expense line items. Since that quarter, some of the personnel and other expenses which had been included in our general and administrative expenses have been included in our selling and marketing expenses and, to a lesser extent, our cost of revenues. Our quarterly results have also been affected by allocation of share-based compensation expenses to certain quarters based on shares or options granted in those quarters. As a result, our operating costs and expenses and results of operations have fluctuated significantly on a quarterly basis. We expect our quarterly results of operations to continue to be influenced by seasonal enrollment patterns. Such patterns may change, however, as a result of an increased variety of programs and services we offer, including our “Pop Kids” English and “Elite English” programs which are less susceptible to the effects of seasonality than other language training and test preparation courses, and our efforts to further diversify our program, service and product offerings and to expand our content offerings.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sets forth a summary of our consolidated results of operations for the periods indicated. This information should be read together with our consolidated financial statements and related notes included elsewhere in this prospectus. The operating results in any period are not necessarily indicative of the results that may be expected for any future period.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1"/>
              </w:rPr>
              <w:t>For the Years Ended May 31,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7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460" w:type="dxa"/>
            <w:vAlign w:val="bottom"/>
            <w:gridSpan w:val="2"/>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600" w:type="dxa"/>
            <w:vAlign w:val="bottom"/>
            <w:gridSpan w:val="4"/>
          </w:tcPr>
          <w:p>
            <w:pPr>
              <w:spacing w:after="0"/>
              <w:rPr>
                <w:sz w:val="20"/>
                <w:szCs w:val="20"/>
                <w:color w:val="auto"/>
              </w:rPr>
            </w:pPr>
            <w:r>
              <w:rPr>
                <w:rFonts w:ascii="Arial" w:cs="Arial" w:eastAsia="Arial" w:hAnsi="Arial"/>
                <w:sz w:val="14"/>
                <w:szCs w:val="14"/>
                <w:i w:val="1"/>
                <w:iCs w:val="1"/>
                <w:color w:val="auto"/>
              </w:rPr>
              <w:t>(in thousands)</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22"/>
                <w:szCs w:val="2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2"/>
                <w:szCs w:val="22"/>
                <w:color w:val="auto"/>
              </w:rPr>
            </w:pPr>
          </w:p>
        </w:tc>
        <w:tc>
          <w:tcPr>
            <w:tcW w:w="9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5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tcPr>
          <w:p>
            <w:pPr>
              <w:ind w:left="420"/>
              <w:spacing w:after="0"/>
              <w:rPr>
                <w:sz w:val="20"/>
                <w:szCs w:val="20"/>
                <w:color w:val="auto"/>
              </w:rPr>
            </w:pPr>
            <w:r>
              <w:rPr>
                <w:rFonts w:ascii="Arial" w:cs="Arial" w:eastAsia="Arial" w:hAnsi="Arial"/>
                <w:sz w:val="18"/>
                <w:szCs w:val="18"/>
                <w:color w:val="auto"/>
              </w:rPr>
              <w:t>Educational programs and services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430,398</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606,812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721,497</w:t>
            </w:r>
          </w:p>
        </w:tc>
        <w:tc>
          <w:tcPr>
            <w:tcW w:w="2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$ 89,976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Books and others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36,458</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441,809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643,270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770,259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96,057</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Operating costs and expenses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tcPr>
          <w:p>
            <w:pPr>
              <w:ind w:left="420"/>
              <w:spacing w:after="0"/>
              <w:rPr>
                <w:sz w:val="20"/>
                <w:szCs w:val="20"/>
                <w:color w:val="auto"/>
              </w:rPr>
            </w:pPr>
            <w:r>
              <w:rPr>
                <w:rFonts w:ascii="Arial" w:cs="Arial" w:eastAsia="Arial" w:hAnsi="Arial"/>
                <w:sz w:val="18"/>
                <w:szCs w:val="18"/>
                <w:color w:val="auto"/>
              </w:rPr>
              <w:t>Cost of revenues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(191,007)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(273,690)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(320,895)</w:t>
            </w: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w w:val="86"/>
              </w:rPr>
              <w:t>(40,018)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Selling and marketing</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(41,613)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(50,716)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(82,121)</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6"/>
              </w:rPr>
              <w:t>(10,241)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3"/>
          </w:tcPr>
          <w:p>
            <w:pPr>
              <w:ind w:left="420"/>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(163,470)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(207,767)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(303,084)</w:t>
            </w:r>
          </w:p>
        </w:tc>
        <w:tc>
          <w:tcPr>
            <w:tcW w:w="100" w:type="dxa"/>
            <w:vAlign w:val="bottom"/>
          </w:tcPr>
          <w:p>
            <w:pPr>
              <w:spacing w:after="0"/>
              <w:rPr>
                <w:sz w:val="19"/>
                <w:szCs w:val="19"/>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w w:val="86"/>
              </w:rPr>
              <w:t>(37,797)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(396,090)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(532,173)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(706,100)</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6"/>
              </w:rPr>
              <w:t>(88,056)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111,097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(10,434)</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(5,844)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(13,923)</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103,252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on discontinued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38,722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141,974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6,159</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386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-473075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-473075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-473075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-473075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-473075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-473075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-473075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-473075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-473075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-172720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-172720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-172720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-172720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-172720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-172720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-172720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-172720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-172720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Share-based compensation expenses are included in our operating costs and expenses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tcPr>
          <w:p>
            <w:pPr>
              <w:ind w:left="440"/>
              <w:spacing w:after="0"/>
              <w:rPr>
                <w:sz w:val="20"/>
                <w:szCs w:val="20"/>
                <w:color w:val="auto"/>
              </w:rPr>
            </w:pPr>
            <w:r>
              <w:rPr>
                <w:rFonts w:ascii="Arial" w:cs="Arial" w:eastAsia="Arial" w:hAnsi="Arial"/>
                <w:sz w:val="18"/>
                <w:szCs w:val="18"/>
                <w:color w:val="auto"/>
              </w:rPr>
              <w:t>Cost of revenues</w:t>
            </w:r>
          </w:p>
        </w:tc>
        <w:tc>
          <w:tcPr>
            <w:tcW w:w="3600" w:type="dxa"/>
            <w:vAlign w:val="bottom"/>
          </w:tcPr>
          <w:p>
            <w:pPr>
              <w:jc w:val="right"/>
              <w:ind w:right="232"/>
              <w:spacing w:after="0"/>
              <w:rPr>
                <w:sz w:val="20"/>
                <w:szCs w:val="20"/>
                <w:color w:val="auto"/>
              </w:rPr>
            </w:pPr>
            <w:r>
              <w:rPr>
                <w:rFonts w:ascii="Arial" w:cs="Arial" w:eastAsia="Arial" w:hAnsi="Arial"/>
                <w:sz w:val="18"/>
                <w:szCs w:val="18"/>
                <w:color w:val="auto"/>
              </w:rPr>
              <w:t>(367)</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(49)</w:t>
            </w:r>
          </w:p>
        </w:tc>
      </w:tr>
      <w:tr>
        <w:trPr>
          <w:trHeight w:val="217"/>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marketing</w:t>
            </w:r>
          </w:p>
        </w:tc>
        <w:tc>
          <w:tcPr>
            <w:tcW w:w="3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(282)</w:t>
            </w: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(176)</w:t>
            </w:r>
          </w:p>
        </w:tc>
      </w:tr>
      <w:tr>
        <w:trPr>
          <w:trHeight w:val="222"/>
        </w:trPr>
        <w:tc>
          <w:tcPr>
            <w:tcW w:w="50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3600" w:type="dxa"/>
            <w:vAlign w:val="bottom"/>
          </w:tcPr>
          <w:p>
            <w:pPr>
              <w:jc w:val="right"/>
              <w:ind w:right="232"/>
              <w:spacing w:after="0"/>
              <w:rPr>
                <w:sz w:val="20"/>
                <w:szCs w:val="20"/>
                <w:color w:val="auto"/>
              </w:rPr>
            </w:pPr>
            <w:r>
              <w:rPr>
                <w:rFonts w:ascii="Arial" w:cs="Arial" w:eastAsia="Arial" w:hAnsi="Arial"/>
                <w:sz w:val="18"/>
                <w:szCs w:val="18"/>
                <w:color w:val="auto"/>
              </w:rPr>
              <w:t>(16,168)</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(62,655)</w:t>
            </w:r>
          </w:p>
        </w:tc>
        <w:tc>
          <w:tcPr>
            <w:tcW w:w="260" w:type="dxa"/>
            <w:vAlign w:val="bottom"/>
          </w:tcPr>
          <w:p>
            <w:pPr>
              <w:spacing w:after="0"/>
              <w:rPr>
                <w:sz w:val="19"/>
                <w:szCs w:val="19"/>
                <w:color w:val="auto"/>
              </w:rPr>
            </w:pPr>
          </w:p>
        </w:tc>
        <w:tc>
          <w:tcPr>
            <w:tcW w:w="940" w:type="dxa"/>
            <w:vAlign w:val="bottom"/>
          </w:tcPr>
          <w:p>
            <w:pPr>
              <w:jc w:val="right"/>
              <w:ind w:right="292"/>
              <w:spacing w:after="0"/>
              <w:rPr>
                <w:sz w:val="20"/>
                <w:szCs w:val="20"/>
                <w:color w:val="auto"/>
              </w:rPr>
            </w:pPr>
            <w:r>
              <w:rPr>
                <w:rFonts w:ascii="Arial" w:cs="Arial" w:eastAsia="Arial" w:hAnsi="Arial"/>
                <w:sz w:val="18"/>
                <w:szCs w:val="18"/>
                <w:color w:val="auto"/>
                <w:w w:val="94"/>
              </w:rPr>
              <w:t>(7,816)</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May 31, 2006 Compared to Fiscal Year Ended May 31, 2005</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Net Revenues</w:t>
      </w:r>
      <w:r>
        <w:rPr>
          <w:rFonts w:ascii="Arial" w:cs="Arial" w:eastAsia="Arial" w:hAnsi="Arial"/>
          <w:sz w:val="18"/>
          <w:szCs w:val="18"/>
          <w:color w:val="auto"/>
        </w:rPr>
        <w:t>. Our total net revenues increased by 19.7% from RMB643.3 million for the fiscal year ended May 31, 2005 to RMB770.3 million (US$96.1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year ended May 31, 2006. This increase was due to the increased revenues from both educational programs and services as well as books and others.</w:t>
      </w:r>
    </w:p>
    <w:p>
      <w:pPr>
        <w:spacing w:after="0" w:line="127" w:lineRule="exact"/>
        <w:rPr>
          <w:sz w:val="20"/>
          <w:szCs w:val="20"/>
          <w:color w:val="auto"/>
        </w:rPr>
      </w:pPr>
    </w:p>
    <w:p>
      <w:pPr>
        <w:ind w:left="780" w:hanging="326"/>
        <w:spacing w:after="0" w:line="290"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Educational Programs and Services</w:t>
      </w:r>
      <w:r>
        <w:rPr>
          <w:rFonts w:ascii="Arial" w:cs="Arial" w:eastAsia="Arial" w:hAnsi="Arial"/>
          <w:sz w:val="16"/>
          <w:szCs w:val="16"/>
          <w:color w:val="auto"/>
        </w:rPr>
        <w:t>. Net revenues from our educational programs and services increased by 18.9% from RMB606.8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May 31, 2005 to RMB721.5 million (US$90.0 million) for the fiscal year ended May 31, 2006. This increase was primarily due to the growth in revenues from language training and test preparation courses from RMB590.9 million in the fiscal year ended May 31, 2005 to RMB687.4 million (US$85.7 million) in the fiscal year ended May 31, 2006. The increase in revenues from language training courses was mainly attributable to the number of students who completed our courses from approximately 391,000 in the fiscal year ended May 31, 2005 to approximately 487,000 in the fiscal year ended May 31, 2006, and in particular, the increased number of students who completed our language training courses for children and middle school and high school students. The increase in revenues from test preparation courses was mainly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right="40"/>
        <w:spacing w:after="0" w:line="298" w:lineRule="auto"/>
        <w:rPr>
          <w:sz w:val="20"/>
          <w:szCs w:val="20"/>
          <w:color w:val="auto"/>
        </w:rPr>
      </w:pPr>
      <w:r>
        <w:rPr>
          <w:rFonts w:ascii="Arial" w:cs="Arial" w:eastAsia="Arial" w:hAnsi="Arial"/>
          <w:sz w:val="16"/>
          <w:szCs w:val="16"/>
          <w:color w:val="auto"/>
        </w:rPr>
        <w:t>attributable to an increase in the number of students who completed our test preparation courses from approximately 366,000 in the fiscal year ended May 31, 2005 to approximately 372,000 in the fiscal year ended May 31, 2006. This increase was partially offset by a decrease in student enrollments in CET 4 and CET 6 test preparation courses, which was in turn due to the change in student qualifications required for taking these exams, the future content and format of these tests and the change in the administrative agency in charge of these tests.</w:t>
      </w:r>
    </w:p>
    <w:p>
      <w:pPr>
        <w:spacing w:after="0" w:line="113" w:lineRule="exact"/>
        <w:rPr>
          <w:sz w:val="20"/>
          <w:szCs w:val="20"/>
          <w:color w:val="auto"/>
        </w:rPr>
      </w:pPr>
    </w:p>
    <w:p>
      <w:pPr>
        <w:ind w:left="780" w:right="40" w:hanging="326"/>
        <w:spacing w:after="0" w:line="306" w:lineRule="auto"/>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Books and Others</w:t>
      </w:r>
      <w:r>
        <w:rPr>
          <w:rFonts w:ascii="Arial" w:cs="Arial" w:eastAsia="Arial" w:hAnsi="Arial"/>
          <w:sz w:val="16"/>
          <w:szCs w:val="16"/>
          <w:color w:val="auto"/>
        </w:rPr>
        <w:t>. Net revenues from sales of books and other educational materials and services increased by 33.7% from RMB36.5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May 31, 2005 to RMB48.8 million (US$6.1 million) in the fiscal year ended May 31, 2006, primarily due to the increased volume of books sold in the fiscal year ended May 31, 2006, as we offered new titles and further expanded our content distribution channel.</w:t>
      </w:r>
    </w:p>
    <w:p>
      <w:pPr>
        <w:spacing w:after="0" w:line="9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Operating Costs and Expenses</w:t>
      </w:r>
      <w:r>
        <w:rPr>
          <w:rFonts w:ascii="Arial" w:cs="Arial" w:eastAsia="Arial" w:hAnsi="Arial"/>
          <w:sz w:val="18"/>
          <w:szCs w:val="18"/>
          <w:color w:val="auto"/>
        </w:rPr>
        <w:t>. Our total operating costs and expenses increased by 32.7% from RMB532.2 million in the fiscal year ended May 31, 2005</w:t>
      </w:r>
      <w:r>
        <w:rPr>
          <w:rFonts w:ascii="Arial" w:cs="Arial" w:eastAsia="Arial" w:hAnsi="Arial"/>
          <w:sz w:val="18"/>
          <w:szCs w:val="18"/>
          <w:i w:val="1"/>
          <w:iCs w:val="1"/>
          <w:color w:val="auto"/>
        </w:rPr>
        <w:t xml:space="preserve"> </w:t>
      </w:r>
      <w:r>
        <w:rPr>
          <w:rFonts w:ascii="Arial" w:cs="Arial" w:eastAsia="Arial" w:hAnsi="Arial"/>
          <w:sz w:val="18"/>
          <w:szCs w:val="18"/>
          <w:color w:val="auto"/>
        </w:rPr>
        <w:t>to RMB706.1 million (US$88.1 million) in the fiscal year ended May 31, 2006. This increase resulted from increases in all of our operating cost and expense line items.</w:t>
      </w:r>
    </w:p>
    <w:p>
      <w:pPr>
        <w:spacing w:after="0" w:line="127" w:lineRule="exact"/>
        <w:rPr>
          <w:sz w:val="20"/>
          <w:szCs w:val="20"/>
          <w:color w:val="auto"/>
        </w:rPr>
      </w:pPr>
    </w:p>
    <w:p>
      <w:pPr>
        <w:ind w:left="780" w:right="60" w:hanging="326"/>
        <w:spacing w:after="0" w:line="291"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Our cost of revenues increased by 17.2% from RMB273.7 million in the fiscal year ended May 31, 2005 to RMB320.9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(US$40.0 million) in the fiscal year ended May 31, 2006. This increase was primarily due to an increase in teaching fees and performance-linked bonuses paid to our teachers as we hired approximately 360 new teachers during the fiscal year ended May 31, 2006, and an increase in our rental payments as we had leased facilities for 25 schools and 111 learning centers as of May 31, 2006, as compared to 15 schools and 75 learning centers as of May 31, 2005. The increase was also attributable to an increase in depreciation and amortization expenses primarily because we moved into our new school buildings in Yangzhou, Tianjin and Xi’an.</w:t>
      </w:r>
    </w:p>
    <w:p>
      <w:pPr>
        <w:spacing w:after="0" w:line="106" w:lineRule="exact"/>
        <w:rPr>
          <w:rFonts w:ascii="Arial" w:cs="Arial" w:eastAsia="Arial" w:hAnsi="Arial"/>
          <w:sz w:val="16"/>
          <w:szCs w:val="16"/>
          <w:color w:val="auto"/>
        </w:rPr>
      </w:pPr>
    </w:p>
    <w:p>
      <w:pPr>
        <w:ind w:left="780" w:right="220" w:hanging="326"/>
        <w:spacing w:after="0" w:line="306"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Selling and Marketing Expenses</w:t>
      </w:r>
      <w:r>
        <w:rPr>
          <w:rFonts w:ascii="Arial" w:cs="Arial" w:eastAsia="Arial" w:hAnsi="Arial"/>
          <w:sz w:val="16"/>
          <w:szCs w:val="16"/>
          <w:color w:val="auto"/>
        </w:rPr>
        <w:t>. Our selling and marketing expenses increased by 61.9% from RMB50.7 million in the fiscal year ended May 31,</w:t>
      </w:r>
      <w:r>
        <w:rPr>
          <w:rFonts w:ascii="Arial" w:cs="Arial" w:eastAsia="Arial" w:hAnsi="Arial"/>
          <w:sz w:val="16"/>
          <w:szCs w:val="16"/>
          <w:i w:val="1"/>
          <w:iCs w:val="1"/>
          <w:color w:val="auto"/>
        </w:rPr>
        <w:t xml:space="preserve"> </w:t>
      </w:r>
      <w:r>
        <w:rPr>
          <w:rFonts w:ascii="Arial" w:cs="Arial" w:eastAsia="Arial" w:hAnsi="Arial"/>
          <w:sz w:val="16"/>
          <w:szCs w:val="16"/>
          <w:color w:val="auto"/>
        </w:rPr>
        <w:t>2005 to RMB82.1 million (US$10.2 million) in the fiscal year ended May 31, 2006. This increase was primarily due to the increased marketing and promotional expenses in connection with opening new schools and learning centers during the fiscal year ended May 31, 2006.</w:t>
      </w:r>
    </w:p>
    <w:p>
      <w:pPr>
        <w:spacing w:after="0" w:line="93" w:lineRule="exact"/>
        <w:rPr>
          <w:rFonts w:ascii="Arial" w:cs="Arial" w:eastAsia="Arial" w:hAnsi="Arial"/>
          <w:sz w:val="16"/>
          <w:szCs w:val="16"/>
          <w:color w:val="auto"/>
        </w:rPr>
      </w:pPr>
    </w:p>
    <w:p>
      <w:pPr>
        <w:ind w:left="780" w:hanging="326"/>
        <w:spacing w:after="0" w:line="289"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increased by 45.9% from RMB207.8 million in the fiscal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May 31, 2005 to RMB303.1 million (US$37.8 million) in the fiscal year ended May 31, 2006. The increase was primarily due to the RMB62.7 million (US$7.8 million) share-based compensation expenses we incurred in the fiscal year ended May 31, 2006 in connection with the restricted shares granted to our management and administrative personnel and full-time teachers during the period. This increase was also due to an increase in the total compensation and benefits we paid to our administrative staff as a result of our hiring of a total of approximately 370 new full-time teachers and other employees in the areas of finance and accounting, technology infrastructure, human resources and general administration to support our expanded operations in the fiscal year ended May 31, 2006. In addition, the increase was attributable to an increase in depreciation and amortization expenses relating to our new headquarter building which we began to use in October 2005.</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Our other expense, net increased substantially from RMB1.9 million in the fiscal year ended May 31, 2005 to RMB10.4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(US$1.3 million) in the fiscal year ended May 31, 2006. This increase was primarily due to the incurrence of exchange rate loss of RMB3.1 million and the increase in interest expenses of RMB3.5 million.</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Income Tax Expenses</w:t>
      </w:r>
      <w:r>
        <w:rPr>
          <w:rFonts w:ascii="Arial" w:cs="Arial" w:eastAsia="Arial" w:hAnsi="Arial"/>
          <w:sz w:val="18"/>
          <w:szCs w:val="18"/>
          <w:color w:val="auto"/>
        </w:rPr>
        <w:t>. Our income tax expense increased by 138.2% from RMB5.8 million in the fiscal year ended May 31, 2005 to RMB13.9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(US$1.7 million) in the fiscal year ended May 31, 2006, primarily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because New Oriental China became subject to a 7.5% enterprise income tax in 2005, while it was exempted from enterprise income tax in the prior two years.</w:t>
      </w:r>
    </w:p>
    <w:p>
      <w:pPr>
        <w:spacing w:after="0" w:line="18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Discontinued Operations</w:t>
      </w:r>
      <w:r>
        <w:rPr>
          <w:rFonts w:ascii="Arial" w:cs="Arial" w:eastAsia="Arial" w:hAnsi="Arial"/>
          <w:sz w:val="16"/>
          <w:szCs w:val="16"/>
          <w:color w:val="auto"/>
        </w:rPr>
        <w:t>. Income from discontinued operations decreased from RMB38.7 million for the fiscal year ended May 31, 2005 to RMB9.6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fiscal year ended May 31, 2006, because we disposed of our remaining interests in Liandong Weiye in August 2005.</w:t>
      </w:r>
    </w:p>
    <w:p>
      <w:pPr>
        <w:spacing w:after="0" w:line="7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Primarily as a result of the increased operating costs and expenses (including share-based compensation expense) and the decreased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discontinued operations in the fiscal year ended May 31, 2006, our net income decreased to RMB49.4 million for the fiscal year ended May 31, 2006 from RMB142.0 million for the fiscal year ended May 31, 2005.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May 31, 2005 Compared to Fiscal Year Ended May 31, 2004</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Net Revenues</w:t>
      </w:r>
      <w:r>
        <w:rPr>
          <w:rFonts w:ascii="Arial" w:cs="Arial" w:eastAsia="Arial" w:hAnsi="Arial"/>
          <w:sz w:val="18"/>
          <w:szCs w:val="18"/>
          <w:color w:val="auto"/>
        </w:rPr>
        <w:t>. Our total net revenues increased by 45.6% from RMB441.8 million in the fiscal year ended May 31, 2004 to RMB643.3 million in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May 31, 2005, primarily due to an increase in our revenues from educational programs and services.</w:t>
      </w:r>
    </w:p>
    <w:p>
      <w:pPr>
        <w:spacing w:after="0" w:line="118" w:lineRule="exact"/>
        <w:rPr>
          <w:sz w:val="20"/>
          <w:szCs w:val="20"/>
          <w:color w:val="auto"/>
        </w:rPr>
      </w:pPr>
    </w:p>
    <w:p>
      <w:pPr>
        <w:ind w:left="780" w:right="40" w:hanging="326"/>
        <w:spacing w:after="0" w:line="286" w:lineRule="auto"/>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Educational Programs and Services. </w:t>
      </w:r>
      <w:r>
        <w:rPr>
          <w:rFonts w:ascii="Arial" w:cs="Arial" w:eastAsia="Arial" w:hAnsi="Arial"/>
          <w:sz w:val="16"/>
          <w:szCs w:val="16"/>
          <w:color w:val="auto"/>
        </w:rPr>
        <w:t>Net revenues from our educational programs and services increased by 41.0% from RMB430.4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May 31, 2004 to RMB606.8 million in the fiscal year ended May 31, 2005, primarily due to increases in revenues from language training and test preparation courses from RMB424.0 million in the fiscal year ended May 31, 2004 to RMB590.9 million in the fiscal year ended May 31, 2005. The increase in revenues from language training courses was mainly attributable to the increased number of students who completed our courses from approximately 237,000 in the fiscal year ended May 31, 2004 to approximately 391,000 in the fiscal year ended May 31, 2005, and in particular, the number of students who completed our language training courses for children and middle school and high school students. The increase in revenues from test preparation courses was primarily due to an increase in the number of students who completed our test preparation courses from approximately 290,000 in the fiscal year ended May 31, 2004 to approximately 366,000 in the fiscal year ended May 31, 2005. This increase was partially offset by a decrease in student enrollments in CET 4 and CET 6 test preparation courses, which was in turn due to the change in student qualifications required for taking these exams, the future content and format of these tests and the change in the administrative agency in charge of these tests in 2005.</w:t>
      </w:r>
    </w:p>
    <w:p>
      <w:pPr>
        <w:spacing w:after="0" w:line="113" w:lineRule="exact"/>
        <w:rPr>
          <w:rFonts w:ascii="Arial" w:cs="Arial" w:eastAsia="Arial" w:hAnsi="Arial"/>
          <w:sz w:val="16"/>
          <w:szCs w:val="16"/>
          <w:color w:val="auto"/>
        </w:rPr>
      </w:pPr>
    </w:p>
    <w:p>
      <w:pPr>
        <w:ind w:left="780" w:right="20" w:hanging="326"/>
        <w:spacing w:after="0" w:line="306" w:lineRule="auto"/>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Books and Others</w:t>
      </w:r>
      <w:r>
        <w:rPr>
          <w:rFonts w:ascii="Arial" w:cs="Arial" w:eastAsia="Arial" w:hAnsi="Arial"/>
          <w:sz w:val="16"/>
          <w:szCs w:val="16"/>
          <w:color w:val="auto"/>
        </w:rPr>
        <w:t>. Net revenues from sales of books and other educational materials and services increased by 219.5% from RMB11.4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May 31, 2004 to RMB36.5 million in the fiscal year ended May 31, 2005, primarily due to an increase in the number of books sold in the fiscal year ended May 31, 2005, as we offered new titles and further expanded our content distribution channels.</w:t>
      </w:r>
    </w:p>
    <w:p>
      <w:pPr>
        <w:spacing w:after="0" w:line="9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 Our total operating costs and expenses increased by 34.4% from RMB396.1 million in the fiscal year ended May 31, 2004</w:t>
      </w:r>
      <w:r>
        <w:rPr>
          <w:rFonts w:ascii="Arial" w:cs="Arial" w:eastAsia="Arial" w:hAnsi="Arial"/>
          <w:sz w:val="16"/>
          <w:szCs w:val="16"/>
          <w:i w:val="1"/>
          <w:iCs w:val="1"/>
          <w:color w:val="auto"/>
        </w:rPr>
        <w:t xml:space="preserve"> </w:t>
      </w:r>
      <w:r>
        <w:rPr>
          <w:rFonts w:ascii="Arial" w:cs="Arial" w:eastAsia="Arial" w:hAnsi="Arial"/>
          <w:sz w:val="16"/>
          <w:szCs w:val="16"/>
          <w:color w:val="auto"/>
        </w:rPr>
        <w:t>to RMB532.2 million in the fiscal year ended May 31, 2005, primarily as a result of increases in all of our operating cost and expense items.</w:t>
      </w:r>
    </w:p>
    <w:p>
      <w:pPr>
        <w:spacing w:after="0" w:line="72" w:lineRule="exact"/>
        <w:rPr>
          <w:sz w:val="20"/>
          <w:szCs w:val="20"/>
          <w:color w:val="auto"/>
        </w:rPr>
      </w:pPr>
    </w:p>
    <w:p>
      <w:pPr>
        <w:ind w:left="780" w:hanging="326"/>
        <w:spacing w:after="0" w:line="298"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Our cost of revenues increased by 43.3% from RMB191.0 million in the fiscal year ended May 31, 2004 to RMB273.7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May 31, 2005, primarily due to increased facility rent as we leased facilities for 15 schools and 75 learning centers as of May 31, 2005, as compared to 13 schools and 48 learning centers as of May 31, 2004, and an increase in teaching fees and performance-linked bonuses paid to our teachers as we hired approximately 400 new teachers in the fiscal year ended May 31, 2005.</w:t>
      </w:r>
    </w:p>
    <w:p>
      <w:pPr>
        <w:spacing w:after="0" w:line="99" w:lineRule="exact"/>
        <w:rPr>
          <w:rFonts w:ascii="Arial" w:cs="Arial" w:eastAsia="Arial" w:hAnsi="Arial"/>
          <w:sz w:val="16"/>
          <w:szCs w:val="16"/>
          <w:color w:val="auto"/>
        </w:rPr>
      </w:pPr>
    </w:p>
    <w:p>
      <w:pPr>
        <w:ind w:left="780" w:right="280" w:hanging="326"/>
        <w:spacing w:after="0" w:line="259"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Our selling and marketing expenses increased by 21.9% from RMB41.6 million in the fiscal year ended May 31,</w:t>
      </w:r>
      <w:r>
        <w:rPr>
          <w:rFonts w:ascii="Arial" w:cs="Arial" w:eastAsia="Arial" w:hAnsi="Arial"/>
          <w:sz w:val="18"/>
          <w:szCs w:val="18"/>
          <w:i w:val="1"/>
          <w:iCs w:val="1"/>
          <w:color w:val="auto"/>
        </w:rPr>
        <w:t xml:space="preserve"> </w:t>
      </w:r>
      <w:r>
        <w:rPr>
          <w:rFonts w:ascii="Arial" w:cs="Arial" w:eastAsia="Arial" w:hAnsi="Arial"/>
          <w:sz w:val="18"/>
          <w:szCs w:val="18"/>
          <w:color w:val="auto"/>
        </w:rPr>
        <w:t>2004 to RMB50.7 million in the fiscal year ended May 31, 2005, primarily due to the marketing expenses incurred in connection with opening new schools and learning centers in the fiscal year ended May 31,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253"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increased by 27.1% from RMB163.5 million for the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May 31, 2004 to RMB207.8 million for the fiscal year ended May 31, 2005. This increase was primarily due to the increase in the total compensation and benefits we paid to our administrative staff as a result of our hiring of a total of over 580 new full-time teachers and other employees in the areas of finance and accounting, technology infrastructure, human resources and general administration to support our expanded operations in the fiscal year ended May 31, 2005. We did not grant any options or restricted shares in the fiscal year ended May 31, 2005, while we incurred RMB16.2 million share-based compensation expenses in connection with the restricted shares granted to management and administrative staff in the fiscal year ended May 31, 2004.</w:t>
      </w:r>
    </w:p>
    <w:p>
      <w:pPr>
        <w:spacing w:after="0" w:line="134"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Our other income, net was RMB3.6 million in the fiscal year ended May 31, 2004, compared to other expense,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RMB1.9 million in the fiscal year ended May 31, 2005, primarily due to the increase of interest expenses by RMB3.3 million and decrease of government subsidies by RMB2.1 million in the fiscal year ended May 31, 2005.</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Our income tax expenses increased by 121.6% from RMB2.6 million in the fiscal year ended May 31, 2004 to RMB5.8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ended May 31, 2005, primarily due to the increased income of our subsidiaries and affiliated entities in China.</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Income on discontinued operations increased from RMB5.9 million for the year ended May 31, 2004 to RMB38.7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May 31, 2005 due to an increase in the net income derived from Liandong Weiye, our former majority-owned subsidiary. We disposed of a 56.2% interest of Liandong Weiye held by us in March 2005.</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As a result of the foregoing, we had net income of RMB142.0 million in the fiscal year ended May 31, 2005, compared to net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RMB52.4 million in the fiscal year ended May 31,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Segment Operations</w:t>
      </w:r>
    </w:p>
    <w:p>
      <w:pPr>
        <w:spacing w:after="0" w:line="16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our management’s view, we operate through six operating segments that offer distinct educational services, consisting of language training and test preparation courses, primary and secondary school education, content development and distribution, online education, overseas studies consulting and post-secondary education. We have two reportable segments, namely, language training and test preparation courses and primary and secondary school education. We aggregate content development and distribution, online education, overseas studies consulting and post-secondary education as others as each of these operating segments does not exceed 10% of our total net revenues, net income or total assets.</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revenues from our language training and test preparation courses accounted for 96.0%, 91.9% and 89.2%, respectively, of our total net revenues in the fiscal years ended May 31, 2004, 2005 and 2006. Net revenues from our primary and secondary school education accounted for 1.5%, 2.5% and 4.1%, respectively, of our total net revenues in the fiscal years ended May 31, 2004, 2005 and 2006. We recognize revenues from course fees collected for enrollment in our language training and test preparation courses proportionally as we deliver the instruction over the period of the course. We recognize revenues from school fees collected for enrollment in New Oriental China’s primary and secondary school ratably over the corresponding academic year.</w:t>
      </w:r>
    </w:p>
    <w:p>
      <w:pPr>
        <w:spacing w:after="0" w:line="10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Cost of revenues for our language training and test preparation courses primarily consists of teaching fees and performance-linked bonuses paid to our teachers, rental payments for our schools and learning centers and, to a lesser degree, depreciation and amortization of property and equipment used in the provision of educational services. Cost of revenues for our primary and secondary school primarily consists of compensation and benefits to school teachers and depreciation and amortization of property and equipment used in the provision of educational services.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Selling and marketing expenses for each of our reportable segments primarily consist of marketing and promotion expenses and other costs related to our selling and marketing activities for the corresponding reportable segment.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General and administrative expenses for our language training and test preparation courses primarily consist of compensation and benefits of administrative staff of our language training and test preparation courses segment, compensation and benefits of full-time teachers excluding teaching fees and performance-linked bonuses, rental and utilities payments relating to office and administrative functions of our language training and test preparation courses segment, depreciation and amortization of property and equipment used in the general and administrative activities of our language training and test preparation courses segment, and to a lesser extent, costs to develop our curriculum. General and administrative expenses for our primary and secondary school education segment primarily consist of compensation and benefits of administrative staff of our primary and secondary school, depreciation and amortization of property and equipment used in the general and administrative activities of our primary and secondary school, and to a lesser extent, costs to develop our curriculum.</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our net revenues and operating costs and expenses by reportable segment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2"/>
              </w:rPr>
              <w:t>For the Years Ended May 31,</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7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9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22"/>
                <w:szCs w:val="2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22"/>
                <w:szCs w:val="22"/>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 of reportable segments: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Language training and test preparation courses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423,970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590,895</w:t>
            </w: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687,437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$ 85,728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Primary and secondary education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Total net revenues of reportable segments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430,398</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606,812</w:t>
            </w: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718,757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$ 89,634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 of our company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441,809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643,270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770,259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$ 96,057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Operating costs and expenses of reportable segments: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Language training and test preparation courses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(173,732)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(229,370)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(262,086)</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5"/>
              </w:rPr>
              <w:t>$ (32,684)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Primary and secondary education</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(6,632)</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(12,690)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Selling and marketing:</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Language training and test preparation courses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(31,782)</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(38,282)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Primary and secondary education</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(588)</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(251)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Language training and test preparation courses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(116,109)</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(148,978)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(144,123)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5"/>
              </w:rPr>
              <w:t>$ (17,973)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Primary and secondary education</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(8,227)</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(12,346)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Total operating costs and expenses of reportable segments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(337,070)</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(441,917)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(507,019)</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5"/>
              </w:rPr>
              <w:t>$ (63,228)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costs and expenses of our company</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(396,090)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(532,173)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(706,100)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(88,056)</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May 31, 2006 Compared to Fiscal Year Ended May 31, 2005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Revenues of Reportable Segments.</w:t>
      </w:r>
    </w:p>
    <w:p>
      <w:pPr>
        <w:spacing w:after="0" w:line="158" w:lineRule="exact"/>
        <w:rPr>
          <w:sz w:val="20"/>
          <w:szCs w:val="20"/>
          <w:color w:val="auto"/>
        </w:rPr>
      </w:pPr>
    </w:p>
    <w:p>
      <w:pPr>
        <w:ind w:left="780" w:right="140" w:hanging="326"/>
        <w:spacing w:after="0" w:line="256"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Language Training and Test Preparation Courses</w:t>
      </w:r>
      <w:r>
        <w:rPr>
          <w:rFonts w:ascii="Arial" w:cs="Arial" w:eastAsia="Arial" w:hAnsi="Arial"/>
          <w:sz w:val="18"/>
          <w:szCs w:val="18"/>
          <w:color w:val="auto"/>
        </w:rPr>
        <w:t>. Net revenues from our language training and test preparation courses increased by 16.3% from</w:t>
      </w:r>
      <w:r>
        <w:rPr>
          <w:rFonts w:ascii="Arial" w:cs="Arial" w:eastAsia="Arial" w:hAnsi="Arial"/>
          <w:sz w:val="18"/>
          <w:szCs w:val="18"/>
          <w:i w:val="1"/>
          <w:iCs w:val="1"/>
          <w:color w:val="auto"/>
        </w:rPr>
        <w:t xml:space="preserve"> </w:t>
      </w:r>
      <w:r>
        <w:rPr>
          <w:rFonts w:ascii="Arial" w:cs="Arial" w:eastAsia="Arial" w:hAnsi="Arial"/>
          <w:sz w:val="18"/>
          <w:szCs w:val="18"/>
          <w:color w:val="auto"/>
        </w:rPr>
        <w:t>RMB590.9 million for the fiscal year ended May 31, 2005 to RMB687.4 million (US$85.7 million) for the fiscal year ended May 31, 2006, primarily due to the factors discussed in “—Results of Operations—Fiscal Year Ended May 31, 2006 Compared to Fiscal Year Ended May 31, 2005—Net Revenues—Educational Programs and Services.”</w:t>
      </w:r>
    </w:p>
    <w:p>
      <w:pPr>
        <w:spacing w:after="0" w:line="129"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Primary and Secondary School Education</w:t>
      </w:r>
      <w:r>
        <w:rPr>
          <w:rFonts w:ascii="Arial" w:cs="Arial" w:eastAsia="Arial" w:hAnsi="Arial"/>
          <w:sz w:val="18"/>
          <w:szCs w:val="18"/>
          <w:color w:val="auto"/>
        </w:rPr>
        <w:t>. Net revenues from our primary and secondary school education increased by 96.8% from RMB15.9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May 31, 2005 to RMB31.3 million (US$3.9 million) for the fiscal year ended May 31, 2006, primarily due to an increase in the number of students as we offered additional grade years and classes.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Costs and Expenses of Reportable Segments.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158" w:lineRule="exact"/>
        <w:rPr>
          <w:sz w:val="20"/>
          <w:szCs w:val="20"/>
          <w:color w:val="auto"/>
        </w:rPr>
      </w:pPr>
    </w:p>
    <w:p>
      <w:pPr>
        <w:ind w:left="780" w:right="40" w:hanging="326"/>
        <w:spacing w:after="0" w:line="298"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Language Training and Test Preparation Courses</w:t>
      </w:r>
      <w:r>
        <w:rPr>
          <w:rFonts w:ascii="Arial" w:cs="Arial" w:eastAsia="Arial" w:hAnsi="Arial"/>
          <w:sz w:val="16"/>
          <w:szCs w:val="16"/>
          <w:color w:val="auto"/>
        </w:rPr>
        <w:t>. Cost of revenues for our language training and test preparation courses increased by 14.3% from</w:t>
      </w:r>
      <w:r>
        <w:rPr>
          <w:rFonts w:ascii="Arial" w:cs="Arial" w:eastAsia="Arial" w:hAnsi="Arial"/>
          <w:sz w:val="16"/>
          <w:szCs w:val="16"/>
          <w:i w:val="1"/>
          <w:iCs w:val="1"/>
          <w:color w:val="auto"/>
        </w:rPr>
        <w:t xml:space="preserve"> </w:t>
      </w:r>
      <w:r>
        <w:rPr>
          <w:rFonts w:ascii="Arial" w:cs="Arial" w:eastAsia="Arial" w:hAnsi="Arial"/>
          <w:sz w:val="16"/>
          <w:szCs w:val="16"/>
          <w:color w:val="auto"/>
        </w:rPr>
        <w:t>RMB229.4 million for the fiscal year ended May 31, 2005 to RMB262.1 million (US$32.7 million) for the fiscal year ended May 31, 2006, primarily due to the factors discussed in “—Results of Operations—Fiscal Year Ended May 31, 2006 Compared to Fiscal Year Ended May 31, 2005—Operating Costs and Expenses—Cost of Revenues” except for the completion of construction of our primary and secondary school.</w:t>
      </w:r>
    </w:p>
    <w:p>
      <w:pPr>
        <w:spacing w:after="0" w:line="99" w:lineRule="exact"/>
        <w:rPr>
          <w:rFonts w:ascii="Arial" w:cs="Arial" w:eastAsia="Arial" w:hAnsi="Arial"/>
          <w:sz w:val="16"/>
          <w:szCs w:val="16"/>
          <w:color w:val="auto"/>
        </w:rPr>
      </w:pPr>
    </w:p>
    <w:p>
      <w:pPr>
        <w:ind w:left="780" w:right="440" w:hanging="326"/>
        <w:spacing w:after="0" w:line="255"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Primary and Secondary School Education</w:t>
      </w:r>
      <w:r>
        <w:rPr>
          <w:rFonts w:ascii="Arial" w:cs="Arial" w:eastAsia="Arial" w:hAnsi="Arial"/>
          <w:sz w:val="18"/>
          <w:szCs w:val="18"/>
          <w:color w:val="auto"/>
        </w:rPr>
        <w:t>. Cost of revenues for our primary and secondary school education increased by 63.2% from RMB12.7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year ended May 31, 2005 to RMB20.7 million (US$2.6 million) for the fiscal year ended May 31, 2006, primarily due to an increase in compensation and benefits to teachers as we hired additional teachers in the fiscal year ended May 31, 2006. The increase was also attributable to an increase in depreciation and amortization expenses as we completed the construction of the primary and secondary school in Yangzhou.</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and Marketing Expenses.</w:t>
      </w:r>
    </w:p>
    <w:p>
      <w:pPr>
        <w:spacing w:after="0" w:line="158" w:lineRule="exact"/>
        <w:rPr>
          <w:sz w:val="20"/>
          <w:szCs w:val="20"/>
          <w:color w:val="auto"/>
        </w:rPr>
      </w:pPr>
    </w:p>
    <w:p>
      <w:pPr>
        <w:ind w:left="780" w:right="40" w:hanging="326"/>
        <w:spacing w:after="0" w:line="256"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Language Training and Test Preparation Courses</w:t>
      </w:r>
      <w:r>
        <w:rPr>
          <w:rFonts w:ascii="Arial" w:cs="Arial" w:eastAsia="Arial" w:hAnsi="Arial"/>
          <w:sz w:val="18"/>
          <w:szCs w:val="18"/>
          <w:color w:val="auto"/>
        </w:rPr>
        <w:t>. Selling and marketing expenses for our language training and test preparation courses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55.8% from RMB38.3 million for the fiscal year ended May 31, 2005 to RMB59.6 million (US$7.4 million) for the fiscal year ended May 31, 2006, primarily due to the factors discussed in “—Results of Operations—Fiscal Year Ended May 31, 2006 Compared to Fiscal Year Ended May 31, 2005— Operating Costs and Expenses—Selling and Marketing Expenses.”</w:t>
      </w:r>
    </w:p>
    <w:p>
      <w:pPr>
        <w:spacing w:after="0" w:line="129" w:lineRule="exact"/>
        <w:rPr>
          <w:rFonts w:ascii="Arial" w:cs="Arial" w:eastAsia="Arial" w:hAnsi="Arial"/>
          <w:sz w:val="18"/>
          <w:szCs w:val="18"/>
          <w:color w:val="auto"/>
        </w:rPr>
      </w:pPr>
    </w:p>
    <w:p>
      <w:pPr>
        <w:ind w:left="780" w:right="80" w:hanging="326"/>
        <w:spacing w:after="0" w:line="256"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Primary and Secondary School Education</w:t>
      </w:r>
      <w:r>
        <w:rPr>
          <w:rFonts w:ascii="Arial" w:cs="Arial" w:eastAsia="Arial" w:hAnsi="Arial"/>
          <w:sz w:val="18"/>
          <w:szCs w:val="18"/>
          <w:color w:val="auto"/>
        </w:rPr>
        <w:t>. Selling and marketing expenses for our primary and secondary school education increased by 43.4% from</w:t>
      </w:r>
      <w:r>
        <w:rPr>
          <w:rFonts w:ascii="Arial" w:cs="Arial" w:eastAsia="Arial" w:hAnsi="Arial"/>
          <w:sz w:val="18"/>
          <w:szCs w:val="18"/>
          <w:i w:val="1"/>
          <w:iCs w:val="1"/>
          <w:color w:val="auto"/>
        </w:rPr>
        <w:t xml:space="preserve"> </w:t>
      </w:r>
      <w:r>
        <w:rPr>
          <w:rFonts w:ascii="Arial" w:cs="Arial" w:eastAsia="Arial" w:hAnsi="Arial"/>
          <w:sz w:val="18"/>
          <w:szCs w:val="18"/>
          <w:color w:val="auto"/>
        </w:rPr>
        <w:t>RMB0.3 million for the fiscal year ended May 31, 2005 to RMB0.4 million (US$0.1 million) for the fiscal year ended May 31, 2006, primarily due to the increased marketing expenses in connection with the new grade years offered by the primary and secondary school during the fiscal year ended May 31, 2006.</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780" w:right="60" w:hanging="326"/>
        <w:spacing w:after="0" w:line="318" w:lineRule="auto"/>
        <w:tabs>
          <w:tab w:leader="none" w:pos="78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Language Training and Test Preparation Courses</w:t>
      </w:r>
      <w:r>
        <w:rPr>
          <w:rFonts w:ascii="Arial" w:cs="Arial" w:eastAsia="Arial" w:hAnsi="Arial"/>
          <w:sz w:val="15"/>
          <w:szCs w:val="15"/>
          <w:color w:val="auto"/>
        </w:rPr>
        <w:t>. General and administrative expenses for our language training and test preparation courses</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decreased by 3.3% from RMB149.0 million for the fiscal year ended May 31, 2005 to RMB144.1 million (US$18.0 million) for the fiscal year ended May 31, 2006, primarily because we implemented a refined accounting process in allocating our operating expense line items in the fiscal year ended May 31, 2006 and some of the personnel and other expenses which were included in our general and administrative expenses in the fiscal year ended May 31, 2005 were included in our selling and marketing expenses, and to a lesser extent, our cost of revenues, in the fiscal year ended May 31, 2006.</w:t>
      </w:r>
    </w:p>
    <w:p>
      <w:pPr>
        <w:spacing w:after="0" w:line="86" w:lineRule="exact"/>
        <w:rPr>
          <w:rFonts w:ascii="Arial" w:cs="Arial" w:eastAsia="Arial" w:hAnsi="Arial"/>
          <w:sz w:val="15"/>
          <w:szCs w:val="15"/>
          <w:color w:val="auto"/>
        </w:rPr>
      </w:pPr>
    </w:p>
    <w:p>
      <w:pPr>
        <w:ind w:left="780" w:hanging="326"/>
        <w:spacing w:after="0" w:line="294"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Primary and Secondary School Education</w:t>
      </w:r>
      <w:r>
        <w:rPr>
          <w:rFonts w:ascii="Arial" w:cs="Arial" w:eastAsia="Arial" w:hAnsi="Arial"/>
          <w:sz w:val="16"/>
          <w:szCs w:val="16"/>
          <w:color w:val="auto"/>
        </w:rPr>
        <w:t>. General and administrative expenses for our primary and secondary school education increased by 62.8%</w:t>
      </w:r>
      <w:r>
        <w:rPr>
          <w:rFonts w:ascii="Arial" w:cs="Arial" w:eastAsia="Arial" w:hAnsi="Arial"/>
          <w:sz w:val="16"/>
          <w:szCs w:val="16"/>
          <w:i w:val="1"/>
          <w:iCs w:val="1"/>
          <w:color w:val="auto"/>
        </w:rPr>
        <w:t xml:space="preserve"> </w:t>
      </w:r>
      <w:r>
        <w:rPr>
          <w:rFonts w:ascii="Arial" w:cs="Arial" w:eastAsia="Arial" w:hAnsi="Arial"/>
          <w:sz w:val="16"/>
          <w:szCs w:val="16"/>
          <w:color w:val="auto"/>
        </w:rPr>
        <w:t>from RMB12.3 million for the fiscal year ended May 31, 2005 to RMB20.1 million (US$2.5 million) for the fiscal year ended May 31, 2006, primarily due to an increase in the total compensation and benefits to our administrative staff of the primary and secondary school as a result of the increased headcount and an increase of depreciation and amortization expenses as we completed the construction of the buildings used for general and administrative functions of the primary and secondary school in the fiscal year ended May 31, 2006.</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May 31, 2005 Compared to Fiscal Year Ended May 31, 2004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Revenues of Reportable Segments.</w:t>
      </w:r>
    </w:p>
    <w:p>
      <w:pPr>
        <w:spacing w:after="0" w:line="158" w:lineRule="exact"/>
        <w:rPr>
          <w:sz w:val="20"/>
          <w:szCs w:val="20"/>
          <w:color w:val="auto"/>
        </w:rPr>
      </w:pPr>
    </w:p>
    <w:p>
      <w:pPr>
        <w:ind w:left="780" w:right="60" w:hanging="326"/>
        <w:spacing w:after="0" w:line="256"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Language Training and Test Preparation Courses</w:t>
      </w:r>
      <w:r>
        <w:rPr>
          <w:rFonts w:ascii="Arial" w:cs="Arial" w:eastAsia="Arial" w:hAnsi="Arial"/>
          <w:sz w:val="18"/>
          <w:szCs w:val="18"/>
          <w:color w:val="auto"/>
        </w:rPr>
        <w:t>. Net revenues from our language training and test preparation courses increased by 39.4% from</w:t>
      </w:r>
      <w:r>
        <w:rPr>
          <w:rFonts w:ascii="Arial" w:cs="Arial" w:eastAsia="Arial" w:hAnsi="Arial"/>
          <w:sz w:val="18"/>
          <w:szCs w:val="18"/>
          <w:i w:val="1"/>
          <w:iCs w:val="1"/>
          <w:color w:val="auto"/>
        </w:rPr>
        <w:t xml:space="preserve"> </w:t>
      </w:r>
      <w:r>
        <w:rPr>
          <w:rFonts w:ascii="Arial" w:cs="Arial" w:eastAsia="Arial" w:hAnsi="Arial"/>
          <w:sz w:val="18"/>
          <w:szCs w:val="18"/>
          <w:color w:val="auto"/>
        </w:rPr>
        <w:t>RMB424.0 million for the fiscal year ended May 31, 2004 to RMB590.9 million for the fiscal year ended May 31, 2005, primarily due to the factors discussed in “—Results of Operations—Fiscal Year Ended May 31, 2005 Compared to Fiscal Year Ended May 31, 2004—Net Revenue—Educational Programs and Services.”</w:t>
      </w:r>
    </w:p>
    <w:p>
      <w:pPr>
        <w:spacing w:after="0" w:line="129"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Primary and Secondary School Education</w:t>
      </w:r>
      <w:r>
        <w:rPr>
          <w:rFonts w:ascii="Arial" w:cs="Arial" w:eastAsia="Arial" w:hAnsi="Arial"/>
          <w:sz w:val="18"/>
          <w:szCs w:val="18"/>
          <w:color w:val="auto"/>
        </w:rPr>
        <w:t>. Net revenues from our primary and secondary school education increased by 147.6% from RMB6.4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May 31, 2004 to RMB15.9 million for the fiscal year ended May 31, 2005, primarily due to an increase in the number of students as we offered additional grade years and classes.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Costs and Expenses of Reportable Segments.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158" w:lineRule="exact"/>
        <w:rPr>
          <w:sz w:val="20"/>
          <w:szCs w:val="20"/>
          <w:color w:val="auto"/>
        </w:rPr>
      </w:pPr>
    </w:p>
    <w:p>
      <w:pPr>
        <w:ind w:left="780" w:right="200" w:hanging="326"/>
        <w:spacing w:after="0" w:line="256"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Language Training and Test Preparation Courses</w:t>
      </w:r>
      <w:r>
        <w:rPr>
          <w:rFonts w:ascii="Arial" w:cs="Arial" w:eastAsia="Arial" w:hAnsi="Arial"/>
          <w:sz w:val="18"/>
          <w:szCs w:val="18"/>
          <w:color w:val="auto"/>
        </w:rPr>
        <w:t>. Cost of revenues for our language training and test preparation courses increased by 32.0% from</w:t>
      </w:r>
      <w:r>
        <w:rPr>
          <w:rFonts w:ascii="Arial" w:cs="Arial" w:eastAsia="Arial" w:hAnsi="Arial"/>
          <w:sz w:val="18"/>
          <w:szCs w:val="18"/>
          <w:i w:val="1"/>
          <w:iCs w:val="1"/>
          <w:color w:val="auto"/>
        </w:rPr>
        <w:t xml:space="preserve"> </w:t>
      </w:r>
      <w:r>
        <w:rPr>
          <w:rFonts w:ascii="Arial" w:cs="Arial" w:eastAsia="Arial" w:hAnsi="Arial"/>
          <w:sz w:val="18"/>
          <w:szCs w:val="18"/>
          <w:color w:val="auto"/>
        </w:rPr>
        <w:t>RMB173.7 million for the fiscal year ended May 31, 2004 to RMB229.4 million for the fiscal year ended May 31, 2005, primarily due to the factors discussed in “—Results of Operations—Fiscal Year Ended May 31, 2005 Compared to Fiscal Year Ended May 31, 2004—Operating Costs and Expenses—Cost of Revenues.”</w:t>
      </w:r>
    </w:p>
    <w:p>
      <w:pPr>
        <w:spacing w:after="0" w:line="129" w:lineRule="exact"/>
        <w:rPr>
          <w:rFonts w:ascii="Arial" w:cs="Arial" w:eastAsia="Arial" w:hAnsi="Arial"/>
          <w:sz w:val="18"/>
          <w:szCs w:val="18"/>
          <w:color w:val="auto"/>
        </w:rPr>
      </w:pPr>
    </w:p>
    <w:p>
      <w:pPr>
        <w:ind w:left="780" w:right="180" w:hanging="326"/>
        <w:spacing w:after="0" w:line="298"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Primary and Secondary School Education</w:t>
      </w:r>
      <w:r>
        <w:rPr>
          <w:rFonts w:ascii="Arial" w:cs="Arial" w:eastAsia="Arial" w:hAnsi="Arial"/>
          <w:sz w:val="16"/>
          <w:szCs w:val="16"/>
          <w:color w:val="auto"/>
        </w:rPr>
        <w:t>. Cost of revenues for our primary and secondary school education increased by 91.3% from RMB6.6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fiscal year ended May 31, 2004 to RMB12.7 million for the fiscal year ended May 31, 2005, primarily due to an increase in compensation and benefits to teachers as we hired additional teachers in the fiscal year ended May 31, 2005. The increase was also attributable to an increase in depreciation and amortization expenses as we continued to expand our primary and secondary school.</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and Marketing Expenses</w:t>
      </w:r>
    </w:p>
    <w:p>
      <w:pPr>
        <w:spacing w:after="0" w:line="158" w:lineRule="exact"/>
        <w:rPr>
          <w:sz w:val="20"/>
          <w:szCs w:val="20"/>
          <w:color w:val="auto"/>
        </w:rPr>
      </w:pPr>
    </w:p>
    <w:p>
      <w:pPr>
        <w:ind w:left="780" w:right="20" w:hanging="326"/>
        <w:spacing w:after="0" w:line="25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Language Training and Test Preparation Courses</w:t>
      </w:r>
      <w:r>
        <w:rPr>
          <w:rFonts w:ascii="Arial" w:cs="Arial" w:eastAsia="Arial" w:hAnsi="Arial"/>
          <w:sz w:val="18"/>
          <w:szCs w:val="18"/>
          <w:color w:val="auto"/>
        </w:rPr>
        <w:t>. Selling and marketing expenses for our language training and test preparation courses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20.4% from RMB31.8 million for the fiscal year ended May 31, 2004 to RMB38.3 million for the fiscal year ended May 31, 2005, primarily due to the factors discussed in “—Results of Operations—Fiscal Year Ended May 31, 2005 Compared to Fiscal Year Ended May 31, 2004—Operating Costs and Expenses—Selling and Marketing Expenses.”</w:t>
      </w:r>
    </w:p>
    <w:p>
      <w:pPr>
        <w:spacing w:after="0" w:line="129" w:lineRule="exact"/>
        <w:rPr>
          <w:rFonts w:ascii="Arial" w:cs="Arial" w:eastAsia="Arial" w:hAnsi="Arial"/>
          <w:sz w:val="18"/>
          <w:szCs w:val="18"/>
          <w:color w:val="auto"/>
        </w:rPr>
      </w:pPr>
    </w:p>
    <w:p>
      <w:pPr>
        <w:jc w:val="both"/>
        <w:ind w:left="780" w:right="100" w:hanging="326"/>
        <w:spacing w:after="0" w:line="306" w:lineRule="auto"/>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Primary and Secondary School Education</w:t>
      </w:r>
      <w:r>
        <w:rPr>
          <w:rFonts w:ascii="Arial" w:cs="Arial" w:eastAsia="Arial" w:hAnsi="Arial"/>
          <w:sz w:val="16"/>
          <w:szCs w:val="16"/>
          <w:color w:val="auto"/>
        </w:rPr>
        <w:t>. Selling and marketing expenses for our primary and secondary school education decreased by 57.3% from</w:t>
      </w:r>
      <w:r>
        <w:rPr>
          <w:rFonts w:ascii="Arial" w:cs="Arial" w:eastAsia="Arial" w:hAnsi="Arial"/>
          <w:sz w:val="16"/>
          <w:szCs w:val="16"/>
          <w:i w:val="1"/>
          <w:iCs w:val="1"/>
          <w:color w:val="auto"/>
        </w:rPr>
        <w:t xml:space="preserve"> </w:t>
      </w:r>
      <w:r>
        <w:rPr>
          <w:rFonts w:ascii="Arial" w:cs="Arial" w:eastAsia="Arial" w:hAnsi="Arial"/>
          <w:sz w:val="16"/>
          <w:szCs w:val="16"/>
          <w:color w:val="auto"/>
        </w:rPr>
        <w:t>RMB0.6 million for the fiscal year ended May 31, 2004 to RMB0.3 million for the fiscal year ended May 31, 2005, primarily because we opened the primary and secondary school in 2002 and incurred more marketing expenses during its early years of operations.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jc w:val="both"/>
        <w:ind w:left="780" w:right="600" w:hanging="326"/>
        <w:spacing w:after="0" w:line="306"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Language Training and Test Preparation Courses</w:t>
      </w:r>
      <w:r>
        <w:rPr>
          <w:rFonts w:ascii="Arial" w:cs="Arial" w:eastAsia="Arial" w:hAnsi="Arial"/>
          <w:sz w:val="16"/>
          <w:szCs w:val="16"/>
          <w:color w:val="auto"/>
        </w:rPr>
        <w:t>. General and administrative expenses for our language training and test preparation courses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28.3% from RMB116.1 million for the fiscal year ended May 31, 2004 to RMB149.0 million for fiscal year ended May 31, 2005, primarily due to an increase in the total compensation and benefits to our full-time teachers excluding teaching fees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performance-linked bonuses as a result of the increased headcount in the fiscal year ended May 31, 2005.</w:t>
      </w:r>
    </w:p>
    <w:p>
      <w:pPr>
        <w:spacing w:after="0" w:line="171" w:lineRule="exact"/>
        <w:rPr>
          <w:sz w:val="20"/>
          <w:szCs w:val="20"/>
          <w:color w:val="auto"/>
        </w:rPr>
      </w:pPr>
    </w:p>
    <w:p>
      <w:pPr>
        <w:ind w:left="780" w:right="40" w:hanging="326"/>
        <w:spacing w:after="0" w:line="256"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Primary and Secondary School Education</w:t>
      </w:r>
      <w:r>
        <w:rPr>
          <w:rFonts w:ascii="Arial" w:cs="Arial" w:eastAsia="Arial" w:hAnsi="Arial"/>
          <w:sz w:val="18"/>
          <w:szCs w:val="18"/>
          <w:color w:val="auto"/>
        </w:rPr>
        <w:t>. General and administrative expenses for our primary and secondary school education increased by 50.1%</w:t>
      </w:r>
      <w:r>
        <w:rPr>
          <w:rFonts w:ascii="Arial" w:cs="Arial" w:eastAsia="Arial" w:hAnsi="Arial"/>
          <w:sz w:val="18"/>
          <w:szCs w:val="18"/>
          <w:i w:val="1"/>
          <w:iCs w:val="1"/>
          <w:color w:val="auto"/>
        </w:rPr>
        <w:t xml:space="preserve"> </w:t>
      </w:r>
      <w:r>
        <w:rPr>
          <w:rFonts w:ascii="Arial" w:cs="Arial" w:eastAsia="Arial" w:hAnsi="Arial"/>
          <w:sz w:val="18"/>
          <w:szCs w:val="18"/>
          <w:color w:val="auto"/>
        </w:rPr>
        <w:t>from RMB8.2 million for the fiscal year ended May 31, 2004 to RMB12.3 million for the fiscal year ended May 31, 2005, primarily due to an increase in the total compensation and benefits to our administrative staff of the primary and secondary school as a result of the increased headcount in the fiscal year ended May 31,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prepare financial statements in accordance with U.S. GAAP, which requires us to make judgments, estimates and assumptions that affect the reported amounts of our assets and liabilities and the disclosure of our contingent assets and liabilities at the end of each fiscal period and the reported amounts of revenues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0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policy involves the most significant judgments and estimates used in the preparation of our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Prior to January 2006, we did not issue any share options to our employees, directors and consultants. In January 2006, we adopted the 2006 Share Incentive Plan under which we have granted a total of 8,719,500 share options. Accordingly, we recorded share-based compensation based on the SFAS 123(R) grant date fair value requirements.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estimated the fair value of share options granted using the Black-Scholes option pricing formula and a single option award approach. The fair value was then amortized on a straight-line basis over the requisite service periods of the awards, which are generally the vesting periods. This option-pricing model requires the input of highly subjective assumptions, including the option’s expected life, estimated forfeitures and the price volatility of the underlying stock. Changes in the subjective input assumptions may materially affect the fair value estimate. In management’s opinion, the existing models do not necessarily provide a reliable single measure of the fair value of the share options.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principal sources of liquidity have been cash generated from operating activities and financing activities, which consisted of our private placement of preferred shares to investors and bank borrowings. As of May 31, 2006, we had RMB261.9 million (US$32.7 million) in cash and cash equivalents. Our cash and cash equivalents consist of cash on hand and liquid investments that are unrestricted as to withdrawal or use, have maturities of three months or less and are placed with banks and other financial institutions. Although we consolidate the results of New Oriental China and its subsidiaries, we do not have direct access to the cash and cash equivalents or future earnings of New Oriental China. However, a portion of the cash balances of New Oriental China and its subsidiaries is paid to us pursuant to our contractual arrangements with New Oriental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China and its subsidiaries for our technical and teaching support, enrollment system development and other services. See “Related Party Transactions— Contractual Arrangements with New Oriental China and Its Subsidiaries and Shareholders.”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to require cash to fund our ongoing business needs, particularly the rent and other costs and expenses relating to opening new schools and learning centers. We opened 10 new schools in fiscal year 2006 and plan to open six to eight new schools in fiscal year 2007 depending on local market conditions of the new markets we plan to enter. We expect to incur capital expenditures ranging from approximately RMB1.0 million to RMB4.0 million per new school depending primarily on the size and geographic location of the school. Other cash needs include the installation of a new enrollment system to timely track course enrollments and other relevant operating data across our school network. We have not encountered any difficulties in meeting our cash obligations to date. We believe that our current cash and cash equivalents, anticipated cash flow from operations, as well as the net proceeds we expect to receive from this offering will be sufficient to meet our anticipated cash needs for the foreseeable future.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9"/>
              </w:rPr>
              <w:t>For the Years Ended May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740" w:type="dxa"/>
            <w:vAlign w:val="bottom"/>
          </w:tcPr>
          <w:p>
            <w:pPr>
              <w:jc w:val="right"/>
              <w:ind w:right="13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2"/>
                <w:szCs w:val="22"/>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740" w:type="dxa"/>
            <w:vAlign w:val="bottom"/>
            <w:gridSpan w:val="3"/>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7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RMB</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113,004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143,966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202,185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(117,205)</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(298,587)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(117,540)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264,347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(160,450)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Effect of exchange rate changes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(20,158)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109,726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248,172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228,014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337,740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228,014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337,740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261,854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financed our operating activities and our growth primarily through cash generated from operations. We currently anticipate that we will be able to meet our needs to fund operations beyond the next twelve months with operating cash flow, existing cash balances and the portion of the net proceeds from this offering remaining after repayment of our indebtedness.</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cash provided by operating activities amounted to RMB202.2 million (US$25.2 million) in the fiscal year ended May 31, 2006, as compared to RMB144.0 million in the fiscal year ended May 31, 2005 and RMB113.0 million in the fiscal year ended May 31, 2004. Net cash provided by operating activities in the fiscal year ended May 31, 2006 was primarily attributable to the following factors (i) net income of RMB49.4 million (US$6.2 million), (ii) an add-back of non-cash items, such as RMB41.3 million (US$5.1 million) in depreciation and amortization and RMB64.5 million (US$8.0 million) in share-based compensation expense, and (iii) an increase in deferred revenues in the amount of RMB54.9 million (US$6.8 million) due to the increased amount of course fees received during the period. We had cash provided by operating activities in the amount of RMB144.0 million in the fiscal year ended May 31, 2005, primarily as a result of the following factors: (i) net income of RMB142.0 million, (ii) an add-back of non-cash items including RMB23.9 million in depreciation and amortization, and (iii) an increase in deferred revenues in the amount of RMB19.0 million due to the increased amount of course fees received during the period, offset in part by an RMB26.9 million increase in prepaid expenses and other current assets, such as prepaid rent, and an RMB22.4 million increase in net accounts receivables. We had cash provided by operating activities in the amount of RMB113.0 million in the fiscal year ended May 31, 2004 primarily as a result of the following factors: (i) net income of RMB52.4 million, (ii) an increase in deferred revenues in the amount of RMB24.4 million due to the increased amount of course fees received during the period, (iii) an increase in accounts payable in the amount of RMB21.4 million, and (iv) an add-back of non-cash items such as RMB18.0 million in depreciation and amortization and RMB16.8 million in share-based compensation expenses, offset in part by an RMB21.7 million increase in inventory, which consisted primarily of course materials and other items.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lease all of our facilities except for part of the premises for the Beijing, Xi’an, Tianjin and Yangzhou schools, which we own. Our cash used in investing activities is primarily related to our purchase of land use rights and the premises for the Beijing, Xi’an, Tianjin and Yangzhou schools and equipment used in our operations and our investment in term deposits.</w:t>
      </w:r>
    </w:p>
    <w:p>
      <w:pPr>
        <w:spacing w:after="0" w:line="12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Net cash used in investing activities amounted to RMB117.5 million (US$14.7 million) in the fiscal year ended May 31, 2006, as compared to RMB298.6 million and RMB117.2 million in the fiscal years ended May 31, 2005 and 2004, respectively. Net cash used in investing activities in the fiscal year ended May 31, 2006 primarily related to our purchase of property, plant and equipment in the amount of RMB94.3 million (US$11.8 million) in connection with the expansion of our school network. Net cash used in investing activities in the fiscal year ended May 31, 2005 primarily related to our purchase of property, plant and equipment in the amount of RMB345.0 million in connection with the construction of the primary and secondary school in Yangzhou and the premises for our new headquarter in Beijing. Net cash used in investing activities in the fiscal year ended May 31, 2004 mainly related to our purchase of property, plant and equipment in the amount of RMB233.5 million, partially offset by term deposit withdrawal in the amount of RMB111.6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financing activities consist of issuance and sale of Series A convertible preferred shares to investors and bank borrowings. Net cash used in financing activities amounted to RMB160.5 million (US$20.0 million) in the fiscal year ended May 31, 2006, as compared to net cash provided by financing activities in the amount of RMB264.3 million in the fiscal year ended May 31, 2005 and net cash used in financing activities in the amount of RMB16.0 million in the fiscal year ended May 31, 2004. Net cash used in financing activities in the fiscal year ended May 31, 2006 was primarily attributable to our repayment of short-term and long-term debt in the amount of RMB145.9 million (US$18.2 million), our payment of dividend in the amount of RMB64.7 million (US$8.1 million) to our shareholders, partially offset by the RMB40.0 million (US$5.0 million) proceeds from short-term borrowings. Net cash provided by financing activities in the fiscal year ended May 31, 2005 was primarily attributable to (i) the proceeds from our issuance and sale of preferred shares in the amount of RMB182.9 million and (ii) the RMB164.4 million long-term debt we incurred primarily to finance the acquisition of the premises for our new headquarter building in Beijing and the buildings for our schools in Xi’an and Tianjin, as well as the construction of the Yangzhou school. This was offset in part by the dividend we paid to our shareholders in a total amount of RMB65.5 million and repayment of short-term debt in the amount of RMB70.0 million. Net cash used in financing activities in the fiscal year ended May 31, 2004 was primarily attributable to a refund of deposit from a potential investor in the amount of RMB100.0 million and the dividend we paid to our shareholders in the amount of RMB27.3 million, partially offset by the proceeds from our short-term and long-term borrowings in the amount of RMB104.5 million.</w:t>
      </w: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outstanding short-term borrowings and long-term debt as of May 31, 2006: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Date of</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Loan</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Principal</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74"/>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Bank Name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Initiation</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Due Date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Loan</w:t>
            </w:r>
          </w:p>
        </w:tc>
        <w:tc>
          <w:tcPr>
            <w:tcW w:w="22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 RMB)</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CITIC Bank</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01/28/2006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01/28/2007</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Line of credit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15,000,000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China Minsheng Bank</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03/31/2005</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03/31/2015</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Mortgage</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115,740,222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Communications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10/10/2002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10/10/2006</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Mortgage</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Bank of Communications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12/03/2003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10/10/2006</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Guaranteed Loan</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24,500,000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Beijing</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03/31/2006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03/30/2007</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Guaranteed Loan</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20,000,000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capital expenditures are incurred primarily in connection with facility acquisitions, leasehold improvements and investments in equipment, technology and operating systems. Our capital expenditures were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RMB279.1 million, RMB382.5 million and RMB120.8 million (US$15.1 million) in the fiscal years ended May 31, 2004, 2005 and 2006, respectively. Our operating results in the years ended May 31, 2005 and 2006 have been affected by capital expenditures relating to our acquisition of land use rights and the premises to build our new headquarter in Beijing and new schools and learning centers in Beijing, Xi’an, Tianjin and Yangzhou. The rapid expansion of our network of schools, learning centers and bookstores has also required significant investment. We expect to incur capital expenditures in the amount of approximately RMB40.0 million (US$4.9 million) in the fiscal year ending May 31, 2007 in connection with our proposed investments in facilities, equipment, technology and operating systems to meet the expected growth of our operations. We intend to cost-efficiently allocate our capital resources by leasing most of our new facilities in the foreseeable future. We may also make acquisitions of businesses and properties that complement our operations when suitable opportunities arise. We believe that we will be able to fund our capital needs in the foreseeable future through cash generated from our operating activities.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May 31, 2006: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gridSpan w:val="6"/>
          </w:tcPr>
          <w:p>
            <w:pPr>
              <w:ind w:left="140"/>
              <w:spacing w:after="0"/>
              <w:rPr>
                <w:sz w:val="20"/>
                <w:szCs w:val="20"/>
                <w:color w:val="auto"/>
              </w:rPr>
            </w:pPr>
            <w:r>
              <w:rPr>
                <w:rFonts w:ascii="Arial" w:cs="Arial" w:eastAsia="Arial" w:hAnsi="Arial"/>
                <w:sz w:val="14"/>
                <w:szCs w:val="14"/>
                <w:b w:val="1"/>
                <w:bCs w:val="1"/>
                <w:color w:val="auto"/>
              </w:rPr>
              <w:t>Payment Due by May 31,</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520" w:type="dxa"/>
            <w:vAlign w:val="bottom"/>
            <w:gridSpan w:val="2"/>
          </w:tcPr>
          <w:p>
            <w:pPr>
              <w:spacing w:after="0"/>
              <w:rPr>
                <w:sz w:val="8"/>
                <w:szCs w:val="8"/>
                <w:color w:val="auto"/>
              </w:rPr>
            </w:pPr>
          </w:p>
        </w:tc>
        <w:tc>
          <w:tcPr>
            <w:tcW w:w="4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500" w:type="dxa"/>
            <w:vAlign w:val="bottom"/>
            <w:gridSpan w:val="5"/>
          </w:tcPr>
          <w:p>
            <w:pPr>
              <w:spacing w:after="0"/>
              <w:rPr>
                <w:sz w:val="20"/>
                <w:szCs w:val="20"/>
                <w:color w:val="auto"/>
              </w:rPr>
            </w:pPr>
            <w:r>
              <w:rPr>
                <w:rFonts w:ascii="Arial" w:cs="Arial" w:eastAsia="Arial" w:hAnsi="Arial"/>
                <w:sz w:val="14"/>
                <w:szCs w:val="14"/>
                <w:i w:val="1"/>
                <w:iCs w:val="1"/>
                <w:color w:val="auto"/>
              </w:rPr>
              <w:t>(in RMB thousands)</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7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80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2"/>
                <w:szCs w:val="22"/>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2"/>
                <w:szCs w:val="22"/>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22"/>
                <w:szCs w:val="22"/>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182,462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18,215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line="217"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2"/>
                <w:szCs w:val="22"/>
                <w:color w:val="auto"/>
                <w:vertAlign w:val="superscript"/>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298,609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69,817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64,859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53,914</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Short-term Borrowings</w:t>
            </w: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521,029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83,876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72,129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-172720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-172720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-172720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-172720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-172720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-172720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-172720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-172720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-172720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Includes accrued interests.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  Includes lease obligations under our facility leases.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6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are a holding company with no material operations of our own. We conduct our operations primarily through our three wholly owned subsidiaries in China, Beijing Hewstone, Beijing Decision and Beijing Judgment, and our affiliated PRC entity, New Oriental China, and its subsidiaries. As a result, our ability to pay dividends and to finance any debt we may incur depends upon dividends paid by our wholly owned subsidiaries and license and service fees paid by New Oriental China and its subsidiaries. If our wholly owned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 standards and regulations. Under PRC law, each of our subsidiaries and affiliated entities in China (excluding our schools) are required to set aside at least 10% of its after-tax profits each year, if any, to fund a statutory reserve until such reserve reached 50% of its registered capital, and to further set aside a portion of its after-tax profits to fund the employee welfare fund at the discretion of the board. Although the statutory reserves can be used, among other ways, to increase the registered capital and eliminate future losses in excess of retained earnings of the respective companies, the reserve funds are not distributable as cash dividends except in the event of liquidation of the companies.</w:t>
      </w:r>
    </w:p>
    <w:p>
      <w:pPr>
        <w:spacing w:after="0" w:line="109"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Moreover, New Oriental China owns many private schools in China. At the end of each fiscal year, every private school in China is required to allocate a certain amount to its development fund for the construction or maintenance of the school or procurement or upgrade of educational equipment. In the case of a private school that requires reasonable returns, this amount shall be no less than 25% of the annual net income of the school,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while in the case of a private school that does not require reasonable returns, this amount shall be equivalent to no less than 25% of the annual increase in the net assets of the school, if any. See “Risk Factors—Risks Related to our Corporate Structure—New Oriental China and its subsidiaries may be subject to significant limitations on their ability to operate private schools or make payments to related parties or otherwise be materially and adversely affected by changes in PRC laws and regulations.”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Inflation in China has not materially impacted our results of operations in recent years. According to the National Bureau of Statistics of China, the change of consumer price index in China was 1.2%, 3.9% and 1.8% in 2003, 2004 and 2005,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exposure to interest rate risk primarily relates to the interest rates for our outstanding debt and the interest income generated by excess cash invested in liquid investments with original maturities of three months or less. As of May 31, 2006, our total outstanding loans amounted to RMB185.2 million (US$23.1 million) with interest rates varying from 5.58% to 6.12%. Each of our loans is subject to a fixed interest rate. A 1% increase in each applicable interest rate would add RMB1.5 million (US$0.2 million) to our interest expense in our fiscal year 2007. We intend to use a portion of the net proceeds from this offering to repay the outstanding loans. See “Use of Proceeds.”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58" w:lineRule="exact"/>
        <w:rPr>
          <w:sz w:val="20"/>
          <w:szCs w:val="20"/>
          <w:color w:val="auto"/>
        </w:rPr>
      </w:pPr>
    </w:p>
    <w:p>
      <w:pPr>
        <w:jc w:val="both"/>
        <w:ind w:right="80" w:firstLine="456"/>
        <w:spacing w:after="0" w:line="254" w:lineRule="auto"/>
        <w:rPr>
          <w:sz w:val="20"/>
          <w:szCs w:val="20"/>
          <w:color w:val="auto"/>
        </w:rPr>
      </w:pPr>
      <w:r>
        <w:rPr>
          <w:rFonts w:ascii="Arial" w:cs="Arial" w:eastAsia="Arial" w:hAnsi="Arial"/>
          <w:sz w:val="18"/>
          <w:szCs w:val="18"/>
          <w:color w:val="auto"/>
        </w:rPr>
        <w:t>Substantially all of our revenues and most of our expenses are denominated in RMB. Our exposure to foreign exchange risk primarily relates to cash and cash equivalent denominated in U.S. dollars as a result of our past issuances of preferred shares through a private placement and proceeds from this offering. We do not believe that we currently have any significant direct foreign exchange risk and have not hedged exposures denominated in foreign currencies or any other derivative financial instruments. Although in general, our exposure to foreign exchange risks should be limited, the value of your investment in our ADSs will be affected by the foreign exchange rate between U.S. dollars and RMB because the value of our business is effectively denominated in RMB, while the ADSs will be traded in U.S. dollars.</w:t>
      </w:r>
    </w:p>
    <w:p>
      <w:pPr>
        <w:spacing w:after="0" w:line="13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value of the RMB against the U.S. dollar and other currencies may fluctuate and is affected by, among other things, changes in China’s political and economic conditions. The conversion of RMB into foreign currencies, including U.S. dollars, has been based on rates set by the People’s Bank of China. On July 21, 2005, the PRC government changed its decade-old policy of pegging the value of the RMB to the U.S. dollar. Under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new policy, the RMB is permitted to fluctuate within a narrow and managed band against a basket of certain foreign currencies. This change in policy has resulted in an approximately 2.5% appreciation of the RMB against the U.S. dollar by the end of 2005. There remains significant international pressure on the PRC government to adopt an even more flexible currency policy, which could result in a further and more significant appreciation of the RMB against the U.S. dollar. To the extent that we need to convert U.S. dollars we receive from this offering into RMB for our operations, appreciation of the RMB against the U.S. dollar would have an adverse effect on the RMB amount we receive from the conversion. Assuming we had converted the U.S. dollar denominated cash balance of US$1.2 million as of May 31, 2006 into RMB at the exchange rate of US$1.00 for RMB8.0188 as of May 31, 2006, this cash balance would have been RMB9.6 million. Assuming a further 1.0% appreciation of the RMB against the U.S. dollar, this cash balance would have decreased to RMB9.5 million as of May 31, 2006. We have not used any forward contracts or currency borrowings to hedge our exposure to foreign currency exchange risk.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February 2006, the FASB issued SFAS No. 155, “Accounting for Certain Hybrid Instruments-an amendment of FASB Statements 133 and 140,” which is effective for all financial instruments acquired or issued after the beginning of an entity’s first fiscal year that begins after September 15, 2006. The statement improves financial reporting by eliminating the exemption from applying SFAS No. 133 to interests in securitized financial assets so that similar instruments are accounted for similarly regardless of the form of the instruments. The statement also improves financial reporting by allowing a preparer to elect fair value measurement at acquisition, at issuance, or when a previously recognized financial instrument is subject to a re-measurement event, on an instrument-by-instrument basis, in cases in which a derivative would otherwise have to be bifurcated, if the holder elects to account for the whole instrument on a fair value basis. We are currently evaluating the impact, if any, of this statement on the consolidated combined financial statements.</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which replaces Accounting Principles Board Opinions No. 20 “Accounting Changes” and SFAS No. 3, “Reporting Accounting Changes in Interim Financial Statements—An Amendment of APB Opinion No. 28.” SFAS No.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No. 154 is effective for accounting changes and corrections of errors made in fiscal years beginning after December 15, 2005. We do not anticipate that the adoption of this statement will have a material effect on our financial position or results of operations.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November 2004, the FASB issued SFAS No. 151, “Inventory Costs—an amendment of ARB No. 43, Chapter 4.” SFAS No. 151 clarifies the accounting that requires abnormal amounts of idle facility expenses, freight, handling costs, and spoilage costs to be recognized as current-period charges. It also requires that allocation of fixed production overheads to the costs of conversion be based on the normal capacity of the production facilities. SFAS No. 151 will be effective for inventory costs incurred on or after July 1, 2005. We do not anticipate that the adoption of this standard will have a material effect on our financial position or results of operations.</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December 2004, the FASB issued SFAS No. 153, “Exchanges of Nonmonetary Assets—an amendment of APB Opinion No. 29,” which amends Accounting Principles Board Opinion No. 29, “Accounting for Nonmonetary Transactions,” to eliminate the exception for nonmonetary exchanges of similar productive assets and replaces it with a general exception for exchanges of nonmonetary assets that do not have commercial substance. SFAS No. 153 is effective for nonmonetary assets exchanges occurring in fiscal periods beginning after June 15, 2005. We do not anticipate that the adoption of this standard will have a material effect on our financial position or results of operations.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the largest provider of private educational services in China based on the number of program offerings, total student enrollments and geographic presence. We offer a wide range of educational programs, services and products consisting primarily of English and other foreign language training, test preparation courses for admissions and assessment tests in the United States, the PRC and Commonwealth countries, primary and secondary school education, development and distribution of educational content, software and other technology, and online education. We provide educational services under our “New Oriental” brand, which is the best brand in China’s English language education market according to a report published in June 2005 by SSIC. We believe our “New Oriental” brand is the leading consumer brand in China’s private education sector, as evidenced by awards we received from many national print and online media sources in China, including the “Most Influential Education Brand in 2005” from Southern China Metropolitan Daily, a newspaper with nationwide circulation, which granted the award to us based on the results of a survey jointly conducted by eleven newspapers and Internet companies to evaluate teaching quality, resources and methods as well as facilities of over 200 educational organizations in China; and the “2004 Top Ten Largest Private Educational Organizations in China” from China Fortune, one of the leading finance journals in China, which granted the award to us based on its evaluation of all major private educational organizations in China in terms of their contribution to China’s private education industry.</w:t>
      </w:r>
    </w:p>
    <w:p>
      <w:pPr>
        <w:spacing w:after="0" w:line="11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Since our inception in 1993, we have had over three million cumulative student enrollments. In the fiscal year ended May 31, 2006, we had over 872,000 student enrollments, including approximately 497,000 student enrollments in our language training programs and approximately 375,000 student enrollments in our test preparation courses. We deliver our educational programs, services and products to students through an extensive physical network of 25 schools, 111 learning centers and 13 bookstores operated by us as of May 31, 2006, over 5,000 third-party bookstores and approximately 1,700 teachers in 24 cities, as well as through our virtual online network, which has approximately two million registered users.</w:t>
      </w:r>
    </w:p>
    <w:p>
      <w:pPr>
        <w:spacing w:after="0" w:line="10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experienced significant growth in our business in recent years. Our total net revenues increased from RMB441.8 million for the fiscal year ended May 31, 2004 to RMB770.3 million (US$96.1 million) for the fiscal year ended May 31, 2006, representing a CAGR of 32.0%. Net revenues from our language training and test preparation courses accounted for 96.0%, 91.9% and 89.2%, respectively, of our total net revenues in the fiscal years ended May 31, 2004, 2005 and 2006. Our net income increased from RMB52.4 million in the fiscal year ended May 31, 2004 to RMB142.0 million in the fiscal year ended May 31, 2005, but decreased to RMB49.4 million (US$6.2 million) in the fiscal year ended May 31, 2006 primarily due to the RMB64.5 million (US$8.0 million) share-based compensation expenses we incurred in the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China’s education market is large and growing as a result of several factors, including favorable demographic trends, rapid economic growth and the increasing importance of higher education and English proficiency for career development and advancement.</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According to China Statistical Yearbook (2005), in 2004, approximately 457 million people in China were between the ages of five and 29, which included typical school age students and young adults who actively pursue education opportunities. Approximately 550 million people in China lived in urban areas in 2005 and this number is expected to reach 680 million by 2015, according to Asia Demographics Limited. The growing trend toward urbanization is expected to result in more people seeking job and career advancement opportunities in urban areas. As stated in China Demographics Yearbook (2005), China had eight cities each with a population of over four million, 50 cities each with a population of over one million and 131 cities each with a population of over 500,000 in 2004. We primarily target students between the ages of five and 29 living in these urban areas in China.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According to the International Monetary Fund, China was the fourth largest economy in the world in 2005 in terms of GDP, which amounted to over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US$2.2 trillion. China’s GDP per capita has increased at a CAGR of 11.4% from approximately US$340 in 1990 to approximately US$1,700 in 2005, according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International Monetary Fund. As a result of this economic growth, Chinese consumers have greater amounts of disposable income and have significantly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their spending.</w:t>
      </w:r>
    </w:p>
    <w:p>
      <w:pPr>
        <w:spacing w:after="0" w:line="1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size of the education market in China was approximately RMB580 billion (US$72 billion) in 2004, according to China Education and Training Industry Research Report (2005 – 2006). In addition to the historical and cultural emphasis on education and self-improvement, urban citizens are increasingly recognizing that higher education leads to greater rewards in terms of income and career opportunities. According to a survey conducted by ChinaHR.com, a college graduate in China on average earns more than twice the initial income of a high school graduate who does not possess a college or other higher education degree. This has motivated more people to choose to continue their education, with enrollment in institutions of higher education increasing at a CAGR of 14.3% from approximately 2.1 million in 1990 to approximately 13.3 million in 2004, according to China Statistical Yearbook (2005). English proficiency is tested as a major subject for admission to colleges and graduate schools in China.</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Public schools in China are generally required to use government-approved curricula. In contrast, private schools in China, while also heavily regulated, have greater flexibility to teach additional subjects and emphasize specific subjects, such as English language, to meet students’ needs, and to deliver education in a small-group setting. As a result, there is a strong demand for high-quality private education and training among urban citizens in China.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English Language Training</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Demand for English language training is growing rapidly in China. According to China Education and Training Industry Research Report (2005 – 2006), the English language training market in China was valued at approximately RMB15 billion (US$1.9 billion) in 2004 and is expected to grow to approximately RMB30 billion (US$3.7 billion) in 2010, at a CAGR of 12.3%. The belief that English language proficiency is essential for career development and advancement is gaining increasing acceptance in China.</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demand is primarily driven by China’s accelerating integration into the global economy, which has resulted in increasing career opportunities for native Chinese speakers who are able to communicate effectively in English. According to China Statistical Yearbook (2005), over 240,000 foreign-invested enterprises had been established in China as of 2004. In addition, trade between China and the rest of the world has grown significantly with China’s total imports and exports growing at a CAGR of 17.9% from US$115.4 billion in 1990 to US$1.2 trillion in 2004, according to China Statistical Yearbook (2005). As English is widely accepted as the international language of business, English proficiency has become an important skill for native Chinese speakers to pursue the best career development opportunities at foreign-invested enterprises and other enterprises in China that are involved in cross-border transactions. English proficiency can have a significant impact on salaries in China. According to a survey conducted by ChinaHR.com, the average salaries of Chinese employees with advanced and intermediate levels of English are 72.5% and 24.3% higher than those with basic levels of English, respectively. In addition, as China’s economy continues to grow, China has attracted and is expected to continue to attract a large number of international business and leisure travelers, especially in conjunction with the 2008 Summer Olympics in Beijing and the 2010 World Expo in Shanghai. According to China National Tourism Administration, or CNTA, the number of foreign travelers visiting China grew at a CAGR of 17.7% from approximately 1.7 million in 1990 to 20.3 million in 2005. This trend is expected to continue and in turn will create additional job opportunities in the tourism industry and other industries in which English proficiency is necessary or useful.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 Preparation</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urban citizens in China are increasingly recognizing that higher education leads to greater rewards in terms of income and career opportunities, demand for test preparation courses for admissions and assessment tests required by higher educational institutions in China and abroad is expected to continue to increase.</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2002, over 100,000 Chinese students traveled overseas each year to pursue higher education degrees according to China Statistical Yearbook (2005). To gain admission into colleges and graduate schools in the United States and many other countries, applicants typically must take admissions and assessment tests that test English proficiency such as the TOEFL and IELTS, and other admissions and assessment tests such as SAT, LSAT, GMAT and GRE for admission into colleges, graduate schools or professional schools.</w:t>
      </w:r>
    </w:p>
    <w:p>
      <w:pPr>
        <w:spacing w:after="0" w:line="13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English proficiency is also tested as a major subject for admission to colleges and graduate schools in China. In addition, college students in many regions of China are required to pass CET 4 as a condition for earning a bachelor’s degree, and graduate students in many regions of China are required to pass CET 6 as a condition for earning a master’s degree. Furthermore, English has been included as one of the major subjects of entrance exams for admission to middle schools and high schools in many cities in China.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Primary and Secondary Schools with an Emphasis on English</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Compared to public primary and secondary schools in China, which are required to use government-approved curricula with English as one of the many subjects required, private schools in China, while also heavily regulated, have more flexibility to teach additional subjects and emphasize specific subjects, such as English language training at an early age, to meet students’ needs, and to deliver education in a small-group setting. In addition, the “single child” policy that the PRC government has imposed for nearly three decades has resulted in the widely known “little emperor” phenomenon, in which Chinese families spend a high percentage of their disposable income investing in their only child’s future. Recognizing the importance of English and the advantage of teaching children multiple languages at a very young age, many parents are increasingly demanding school curricula that are taught in both Chinese and English to give their children a competitive advantage. This demand has driven the emergence and growth of high-quality private primary and secondary schools with an emphasis on English in China.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Development and Distribution</w:t>
      </w:r>
    </w:p>
    <w:p>
      <w:pPr>
        <w:spacing w:after="0" w:line="15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Successful content development has enhanced and will continue to enhance the successful development of the private education industry in China, as students expect a complementary mix of content offerings to choose from to best fit their needs and achieve their goals. According to Access Asia, approximately seven billion books were distributed in China in 2003. To establish and maintain a leading market position and to successfully compete against national and regional competitors, a private educational service provider in China must have access to high-quality content, update and enhance existing content and license and localize content from leading international content providers, as well as distribute such content through extensive distribution channels across the nation.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Education</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 the growth of Internet use and the improvement of online payment systems in China, online education and training programs represent an attractive growth market opportunity. Online education, which provides students with flexibility to take interactive courses at times and locations most convenient to them, is particularly attractive to working adults and their employers. Online education also enables educational service providers to leverage the Internet-based platform to reach and serve a broader base of students without substantial incremental costs. According to the China Education and Training Industry Research Report (2005 – 2006), China’s online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422" w:lineRule="auto"/>
        <w:rPr>
          <w:sz w:val="20"/>
          <w:szCs w:val="20"/>
          <w:color w:val="auto"/>
        </w:rPr>
      </w:pPr>
      <w:r>
        <w:rPr>
          <w:rFonts w:ascii="Arial" w:cs="Arial" w:eastAsia="Arial" w:hAnsi="Arial"/>
          <w:sz w:val="18"/>
          <w:szCs w:val="18"/>
          <w:color w:val="auto"/>
        </w:rPr>
        <w:t xml:space="preserve">education market was valued at approximately RMB14 billion (US$1.7 billion) in 2004 and is expected to grow to RMB30 billion (US$3.7 billion) by 2007. </w:t>
      </w:r>
      <w:r>
        <w:rPr>
          <w:rFonts w:ascii="Arial" w:cs="Arial" w:eastAsia="Arial" w:hAnsi="Arial"/>
          <w:sz w:val="18"/>
          <w:szCs w:val="18"/>
          <w:b w:val="1"/>
          <w:bCs w:val="1"/>
          <w:i w:val="1"/>
          <w:iCs w:val="1"/>
          <w:color w:val="auto"/>
        </w:rPr>
        <w:t>Post-Secondary Education</w:t>
      </w:r>
    </w:p>
    <w:p>
      <w:pPr>
        <w:spacing w:after="0" w:line="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market for post-secondary education in China is expected to grow due to various demands, including demand from employers for professionals, demand from an increasing number of high school and college graduates seeking entry-level employment positions which require professional certifications, and demand from working professionals who wish to further achieve their career and salary advancement potential. According to China Education and Training Industry Research Report (2005 – 2006), the career education and management education markets were valued at approximately RMB32 billion (US$4.0 billion) and RMB15 billion (US$1.9 billion), respectively, in 2004, and are expected to grow to approximately RMB299 billion (US$37 billion) and RMB135 billion (US$16.9 billion), respectively in 2010. Currently, the post-secondary private education market in China is highly fragmented, with no one provider controlling significant market share.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competitive strengths contribute to our success and differentiate us from our competitors:</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Most Recognized Private Education Brand in China. </w:t>
      </w:r>
      <w:r>
        <w:rPr>
          <w:rFonts w:ascii="Arial" w:cs="Arial" w:eastAsia="Arial" w:hAnsi="Arial"/>
          <w:sz w:val="16"/>
          <w:szCs w:val="16"/>
          <w:color w:val="auto"/>
        </w:rPr>
        <w:t>With a 13-year history, our “New Oriental” brand is a well-recognized, award-winning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brand in China. The “New Oriental” brand has received numerous awards and recognitions, including the best brand in China’s English language education market, as recognized by SSIC in a report published in June 2005, which summarized the results of a survey of the English language education market in eight major cities in China, including Beijing, Shanghai, Guangzhou and Wuhan; the “Most Influential Education Brand in 2005” awarded by the Southern China Metropolitan Daily, a newspaper with nationwide circulation, which granted the award to us based on the results of a survey jointly conducted by eleven newspapers and Internet companies to evaluate teaching quality, resources and methods as well as facilities of over 200 educational organizations in China; and the “2004 Top Ten Largest Private Educational Organizations in China” from China Fortune, one of the leading finance journals in China, which granted the award to us based on its evaluation of all major private educational organizations in China in terms of their contribution to China’s private education industry. We believe that our established “New Oriental” brand allows us to further expand our market share in existing markets and target new markets and areas of private education.</w:t>
      </w:r>
    </w:p>
    <w:p>
      <w:pPr>
        <w:spacing w:after="0" w:line="322"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i w:val="1"/>
          <w:iCs w:val="1"/>
          <w:color w:val="auto"/>
        </w:rPr>
        <w:t xml:space="preserve">Leading Market Position in Multiple High Growth Areas of Education. </w:t>
      </w:r>
      <w:r>
        <w:rPr>
          <w:rFonts w:ascii="Arial" w:cs="Arial" w:eastAsia="Arial" w:hAnsi="Arial"/>
          <w:sz w:val="16"/>
          <w:szCs w:val="16"/>
          <w:color w:val="auto"/>
        </w:rPr>
        <w:t>We are the largest provider of private educational services in China,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program offerings, total student enrollments and geographic presence. We believe that our strong brand, extensive program, service and product offerings, unparalleled national scale and network, innovative and inspirational instruction, successful track record and experienced management team have enabled us to become the leading national player in the highly fragmented private education industry.</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fiscal year ended May 31, 2006, we had approximately 497,000 student enrollments in our language training programs and had approximately 375,000 student enrollments in our test preparation courses. According to China Statistical Yearbook (2005), over 100,000 Chinese students traveled overseas each year to pursue higher education degrees since 2002. We believe a substantial majority of these students took our test preparation courses to gain admissions into colleges, graduate schools and professional schools abroad. We started offering TOEFL preparation courses in 1993 and became a market leader in admissions test preparation courses within a relatively short period of time thereafter. Leveraging on our success in test preparation courses, we introduced our first English language training program in 1996 and, since then, we have substantially expanded our program, service and product offerings and established a leading position in the geographic markets where we have a presence.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our excellent reputation in English language training and test preparation courses and our established operational platform have enabled us to launch new programs, services and products in new markets and quickly gain market share and establish our strong competitive position in these new markets. For example, New Oriental China established its first primary and secondary school with a full curriculum in Yangzhou in 2002. This school has been regarded as one of the best primary and secondary schools in the local market since shortly after its inception. In 2005, the Yangzhou school accepted 780 students out of over 2,000 applicants from the local market as well as from elsewhere in China.</w:t>
      </w:r>
    </w:p>
    <w:p>
      <w:pPr>
        <w:spacing w:after="0" w:line="10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Extensive Program, Service and Product Offerings. </w:t>
      </w:r>
      <w:r>
        <w:rPr>
          <w:rFonts w:ascii="Arial" w:cs="Arial" w:eastAsia="Arial" w:hAnsi="Arial"/>
          <w:sz w:val="16"/>
          <w:szCs w:val="16"/>
          <w:color w:val="auto"/>
        </w:rPr>
        <w:t>We offer a wide range of educational programs, services and products to a varied student population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diverse academic and career development needs. Our offerings primarily consist of various levels and types of English language training programs to primary and middle school students, college students and other adults and other foreign language training programs, test preparation courses for students taking major admissions and assessment tests in the U.S., the PRC and Commonwealth countries, a full-curriculum primary and secondary school with an emphasis on English, educational content development and distribution, online education targeted at working professionals and college students, as well as post-secondary education and certain education-related consulting services. As of May 31, 2006, we had over 150 programs available for enrollment, and authored, localized and distributed more than three million print and software titles on education-related topics. We have schools and learning centers in every city in China with a population of over four million. We believe the breadth and the diversity of our programs, services and products increase our addressable markets and enhance our overall revenue stability.</w:t>
      </w:r>
    </w:p>
    <w:p>
      <w:pPr>
        <w:spacing w:after="0" w:line="10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i w:val="1"/>
          <w:iCs w:val="1"/>
          <w:color w:val="auto"/>
        </w:rPr>
        <w:t xml:space="preserve">Unparalleled National Scale and Network. </w:t>
      </w:r>
      <w:r>
        <w:rPr>
          <w:rFonts w:ascii="Arial" w:cs="Arial" w:eastAsia="Arial" w:hAnsi="Arial"/>
          <w:sz w:val="16"/>
          <w:szCs w:val="16"/>
          <w:color w:val="auto"/>
        </w:rPr>
        <w:t>We have an unparalleled national scale and network as compared to other providers of private educational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 China. We deliver our educational programs, services and products through an extensive physical network of 25 schools, 111 learning centers and 13 bookstores operated by us as of May 31, 2006, over 5,000 third-party bookstores, and approximately 1,700 teachers in 24 cities, as well as through our virtual online network, which has approximately two million registered users. All of our schools, learning centers and bookstores operate under our established “New Oriental” brand. We typically cluster our schools and learning centers in and around selected major cities, which serve as regional hubs to provide management, teaching, marketing and administrative support to schools and learning centers in adjacent satellite cities. We believe clustering allows us to leverage and efficiently allocate teaching, marketing and administrative resources of the main school in a regional hub among, and maintain centralized management over, all of the schools and learning centers within the same regional hub.</w:t>
      </w:r>
    </w:p>
    <w:p>
      <w:pPr>
        <w:spacing w:after="0" w:line="10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Through a subsidiary of New Oriental China, we cooperate with qualified PRC publishing companies to publish our self-developed teaching materials and other content and have arrangements with third-party distributors, including over 5,000 bookstores, to distribute books authored or licensed and localized by us. In addition, as we have had over three million cumulative student enrollments since our inception, we have an extensive network of students and alumni. This network has proven helpful in promoting our brand and our programs, services and products by word-of-mouth referrals and through our students’ and alumni’s academic and career achievements. Our national scale and network have enabled us to gain significant competitive advantage in an industry in which brand recognition, reputation, consumer confidence and referrals play important roles in attracting and retaining students and increasing student enrollments. It also allows us to leverage our extensive experience and know-how to reach a broad base of students.</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Innovative and Inspirational Instruction. </w:t>
      </w:r>
      <w:r>
        <w:rPr>
          <w:rFonts w:ascii="Arial" w:cs="Arial" w:eastAsia="Arial" w:hAnsi="Arial"/>
          <w:sz w:val="16"/>
          <w:szCs w:val="16"/>
          <w:color w:val="auto"/>
        </w:rPr>
        <w:t>In our New Oriental schools and learning centers, we differentiate ourselves through our New Oriental way of</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innovative and inspirational instruction. We are committed to training the next generation of business and community leaders by educating and inspiring our students to achieve their potential, build self-confidence and develop a global vision with an understanding and appreciation of both traditional Chinese culture and the modern world, as well as boosting our students’ enthusiasm for learning. This commitment is reflected in our company culture which encourages teachers to maintain creativity and continued passion for education, in educational materials developed and distributed by us, in our teaching methods and in our teacher selection, training and retention process. Our content experts design innovative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curriculum for most of the courses offered by us. We have well-developed methods for hiring, training and retaining qualified teachers, which include a strict recruiting process, periodic training in teaching methods, skills, school culture and philosophy, as well as competitive base salary coupled with performance-based bonuses. We believe that our relatively high base salaries compared to our competitors, performance-based bonuses, career advancement opportunities, team spirit and continuous training allow us to recruit and retain qualified teachers. In each of 2003 through 2005, less than 10% of applicants were hired as our teachers.</w:t>
      </w:r>
    </w:p>
    <w:p>
      <w:pPr>
        <w:spacing w:after="0" w:line="1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Successful Track Record. </w:t>
      </w:r>
      <w:r>
        <w:rPr>
          <w:rFonts w:ascii="Arial" w:cs="Arial" w:eastAsia="Arial" w:hAnsi="Arial"/>
          <w:sz w:val="16"/>
          <w:szCs w:val="16"/>
          <w:color w:val="auto"/>
        </w:rPr>
        <w:t>We were founded in 1993 by our Chairman and Chief Executive Officer, Michael Minhong Yu, to offer TOEFL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courses. Since then, we have transformed ourselves from primarily a language training and test preparation company to China’s largest provider of a wide range of educational programs, services and products to a varied student population with diverse academic and career development needs in China. We have demonstrated significant growth in our business since our inception, especially in recent years. Our physical school network increased from three schools in 2001 to 25 schools as of May 31, 2006, and our total cumulative student enrollments increased from over 552,000 by the end of 2001 to over three million by May 31, 2006. Our total net revenues increased from RMB441.8 million for the fiscal year ended May 31, 2004 to RMB770.3 million (US$96.1 million) for the fiscal year ended May 31, 2006, representing a CAGR of 32.0%.</w:t>
      </w:r>
    </w:p>
    <w:p>
      <w:pPr>
        <w:spacing w:after="0" w:line="10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 xml:space="preserve">Experienced Management Team with a Passion for Education. </w:t>
      </w:r>
      <w:r>
        <w:rPr>
          <w:rFonts w:ascii="Arial" w:cs="Arial" w:eastAsia="Arial" w:hAnsi="Arial"/>
          <w:sz w:val="15"/>
          <w:szCs w:val="15"/>
          <w:color w:val="auto"/>
        </w:rPr>
        <w:t>Our senior management team has over 65 years of combined experience and an average of</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eight years of experience in the education industry. Our founders are committed to and passionate about education. They are familiar with the private education sector and relevant regulatory environment in China and continue to be actively involved in our management and strategic planning. In particular, Michael Minhong Yu, our Chairman and Chief Executive Officer, is a renowned expert in English language teaching with over 20 years of experience in the education industry and is a leader in the education community in China. He has served as the Vice Chairman of the Education Committee of the Central Committee of the China Democratic League. We believe that our management team’s passion for education and extensive experience in the private education sector and relevant regulatory environment in China have enabled us to successfully manage our operations and growth, promote our brand and achieve our goals.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goal is to strengthen our position as the largest provider of private educational services in China. We believe our leading market position in multiple high growth areas of education, established and highly recognized “New Oriental” brand, extensive program, service and product offerings, unparalleled national scale and network, innovative and inspirational instruction, successful track record and experienced management team provide us with a significant competitive advantage and facilitates our continuing growth.</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leverage our brand and extensive national network to achieve our goal by pursuing the following strategies:</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Establish New Schools and Learning Centers. </w:t>
      </w:r>
      <w:r>
        <w:rPr>
          <w:rFonts w:ascii="Arial" w:cs="Arial" w:eastAsia="Arial" w:hAnsi="Arial"/>
          <w:sz w:val="16"/>
          <w:szCs w:val="16"/>
          <w:color w:val="auto"/>
        </w:rPr>
        <w:t>We plan to open six to eight new schools in our fiscal year 2007, and will continue to open new schools and</w:t>
      </w:r>
      <w:r>
        <w:rPr>
          <w:rFonts w:ascii="Arial" w:cs="Arial" w:eastAsia="Arial" w:hAnsi="Arial"/>
          <w:sz w:val="16"/>
          <w:szCs w:val="16"/>
          <w:i w:val="1"/>
          <w:iCs w:val="1"/>
          <w:color w:val="auto"/>
        </w:rPr>
        <w:t xml:space="preserve"> </w:t>
      </w:r>
      <w:r>
        <w:rPr>
          <w:rFonts w:ascii="Arial" w:cs="Arial" w:eastAsia="Arial" w:hAnsi="Arial"/>
          <w:sz w:val="16"/>
          <w:szCs w:val="16"/>
          <w:color w:val="auto"/>
        </w:rPr>
        <w:t>learning centers in cities that exhibit strong enrollment potential. According to China Demographics Yearbook (2005), China had 50 cities each with a population of over one million and 131 cities each with a population of greater than 500,000 in 2004, which presents opportunities for our further expansion. In addition to new schools, we plan to open new smaller “Pop Kids” English learning centers for students in kindergarten through grade six and high-end “Elite English” centers in major cities for high-income adults and children of high-income families.</w:t>
      </w:r>
    </w:p>
    <w:p>
      <w:pPr>
        <w:spacing w:after="0" w:line="10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Increase Student Enrollments and Course Fees at Our Existing Schools and Learning Centers. </w:t>
      </w:r>
      <w:r>
        <w:rPr>
          <w:rFonts w:ascii="Arial" w:cs="Arial" w:eastAsia="Arial" w:hAnsi="Arial"/>
          <w:sz w:val="18"/>
          <w:szCs w:val="18"/>
          <w:color w:val="auto"/>
        </w:rPr>
        <w:t>As of May 31, 2006, we had 25 schools and 111 learning</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of which 13 schools and 48 learning centers had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been in operation for more than two years. We plan to increase student enrollments and profitability at our existing facilities by offering additional classes for both new and existing programs, and by continuing market-based increases of course fees. We also intend to develop, license and localize additional high-quality educational content to enrich our content offering and attract students with diverse academic and career development needs. In addition, we intend to pursue aggressive marketing efforts to reach a broader base of students, parents and other adults in order to further enhance our brand recognition and increase new student enrollments.</w:t>
      </w:r>
    </w:p>
    <w:p>
      <w:pPr>
        <w:spacing w:after="0" w:line="12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Expand Our Program, Service and Product Offerings. </w:t>
      </w:r>
      <w:r>
        <w:rPr>
          <w:rFonts w:ascii="Arial" w:cs="Arial" w:eastAsia="Arial" w:hAnsi="Arial"/>
          <w:sz w:val="16"/>
          <w:szCs w:val="16"/>
          <w:color w:val="auto"/>
        </w:rPr>
        <w:t>We believe the strength of our reputation and brand name is directly attributable to the quality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breadth of our programs, services and products, and we expect to continue to devote significant resources to enhancing our current offerings and developing new high-quality programs, services and products that are responsive to the evolving market needs. We currently have a full-time staff of approximately 30 people involved in our centralized product and curriculum development process. We plan to continue to replicate successful programs by taking the curriculum for an existing program at one school and introducing it to other schools across our network.</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plan to continuously evaluate new, high-growth areas of education that are in demand by students, parents and employers and develop new programs, services and products in these areas. For example, we have recently begun offering English summer camps for primary and middle school students and post-secondary English language training certification programs to capture the growth opportunity in these areas. We also plan to expand our online education and post-secondary education businesses. As the Internet continues to gain widespread use and acceptance throughout China, we believe there are significant online growth opportunities for new and complementary online programs, services and products in language training, test preparation and other areas. Similarly, we believe there are tremendous opportunities in the post-secondary education market and we plan to expand our post-secondary programs, services and products to meet the rising demand from employers for skilled professionals.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Continue to Leverage and Expand Our Content Distribution Channels. </w:t>
      </w:r>
      <w:r>
        <w:rPr>
          <w:rFonts w:ascii="Arial" w:cs="Arial" w:eastAsia="Arial" w:hAnsi="Arial"/>
          <w:sz w:val="16"/>
          <w:szCs w:val="16"/>
          <w:color w:val="auto"/>
        </w:rPr>
        <w:t>We have established a variety of content distribution channels across China,</w:t>
      </w:r>
      <w:r>
        <w:rPr>
          <w:rFonts w:ascii="Arial" w:cs="Arial" w:eastAsia="Arial" w:hAnsi="Arial"/>
          <w:sz w:val="16"/>
          <w:szCs w:val="16"/>
          <w:i w:val="1"/>
          <w:iCs w:val="1"/>
          <w:color w:val="auto"/>
        </w:rPr>
        <w:t xml:space="preserve"> </w:t>
      </w:r>
      <w:r>
        <w:rPr>
          <w:rFonts w:ascii="Arial" w:cs="Arial" w:eastAsia="Arial" w:hAnsi="Arial"/>
          <w:sz w:val="16"/>
          <w:szCs w:val="16"/>
          <w:color w:val="auto"/>
        </w:rPr>
        <w:t>consisting of our bookstores and third-party distributors, including over 5,000 bookstores. We believe successful content development has been and will continue to be important for the success of our private education business in China, as students expect a complementary mix of content offerings to choose from to best fit their needs and achieve their goals. In 2005, we distributed approximately three million books authored or licensed by us in China. We intend to continuously enhance the quality and breadth of our content offerings through developing our own content and licensing and localizing content from leading international content providers. We also intend to continue to distribute content and expand our content distribution channels to reach a broader base of current and prospective students as well as parents and employers who may sponsor our students’ educations.</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Continue to Strengthen Existing, and Pursue New, Strategic Relationships with Education Content Providers and Other Complementary Businesses.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have arrangements with international education content providers and publishers such as Pearson Education, The McGraw-Hill Companies and Cambridge University Press, or their respective authorized Chinese publishers, to develop and distribute localized versions of selected educational materials in China bearing both our logo and the original publisher’s logo. We believe that strategic relationships with leading education content providers and other complementary businesses will enable us to further enhance the quality of our content offerings, expand revenue sources and expedite our time-to-market in distributing new content. We also believe that our excellent reputation and extensive content distribution channels are particularly attractive to international education content providers who wish to penetrate the China market. Accordingly, we intend to continue to strengthen existing, and actively pursue new, strategic relationships with leading international education content providers and other complementary businesses in an effort to strengthen our leading market position in the private education industry in China.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deliver our education programs, services and products to students through an extensive physical network of 25 schools, 111 learning centers and 13 bookstores operated by us as of May 31, 2006, over 5,000 third-party bookstores and approximately 1,700 teachers in 24 cities, as well as through our virtual online network with approximately two million registered users. In addition, as we have had over three million cumulative student enrollments since our inception, we have an extensive network of students and alumni. This network has been essential in promoting our brand and our programs, services and products by word-of-mouth referrals and through our students’ and alumni’s academic and career achievements. We will continue to open new schools and learning centers in cities that exhibit strong enrollment potential.</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map sets forth the geographic coverage of our network of schools, learning centers and bookstores as of May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105410</wp:posOffset>
            </wp:positionV>
            <wp:extent cx="4922520" cy="31388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2252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All of our schools, learning centers and bookstores operate under our “New Oriental” brand. Our hub schools in major cities consist of classrooms and administrative facilities with full student and administrative services while our schools in satellite cities and our learning centers consist primarily of classroom facilities and limited course registration and management capabilities. We select new locations based on various factors, including demographics and the number of colleges in, and the economic condition of, the particular region. We have opened bookstores in our established schools to primarily sell educational materials relating to our courses and also sell self-help, know-how, inspirational and other books.</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lease all of our facilities except for part of the premises for the Beijing, Xi’an, Tianjin and Yangzhou schools, which we own. The following table sets forth information concerning the locations of our schools, learning centers and bookstores as of May 31,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Number</w:t>
            </w:r>
          </w:p>
        </w:tc>
        <w:tc>
          <w:tcPr>
            <w:tcW w:w="18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Number of</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74"/>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City</w:t>
            </w:r>
          </w:p>
        </w:tc>
        <w:tc>
          <w:tcPr>
            <w:tcW w:w="14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79"/>
              </w:rPr>
              <w:t>of schools</w:t>
            </w:r>
          </w:p>
        </w:tc>
        <w:tc>
          <w:tcPr>
            <w:tcW w:w="18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learning centers</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bookstores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7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Shanghai</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Wuhan</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Tianjin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Chongqing</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Shenyang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Xi’an</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Chengdu</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Nanjing</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Zhengzhou</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Changsha</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Harbin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Jinan</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Xiangfan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Shenzhen</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Taiyuan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Zhuzhou</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Changchun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Hangzhou</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Langfang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Shijiazhuang</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Suzhou</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Yangzhou</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7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 Services and Products</w:t>
      </w:r>
    </w:p>
    <w:p>
      <w:pPr>
        <w:spacing w:after="0" w:line="164"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We provide a wide variety of educational services and products intended to address the needs of our students. We deliver education to our students primarily in traditional classroom settings and also through online instruction. With the exception of the full-time primary and secondary school in Yangzhou and a school that provides post-secondary education, our classroom-based courses are generally designed to be completed in 2 to 16 weeks. Course fees are determined based on the length of the course, the size and the subject of the class, the area of study and the geographic location of the school. We currently have a full-time staff of approximately 30 people involved in our centralized curriculum development process. We update and expand our course offerings frequently in response to evolving market needs. Our program, service and product offerings are generally divided into six areas: language training; test preparation; primary and secondary school; educational content, software and other technology development and distribution; online education; and other services and products.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Language Training Courses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language training courses primarily consist of various types of English language training courses. We also provide training courses for other foreign languages, including German, Japanese, French, Korean and Spanish. In our fiscal year ended May 31, 2006, we had approximately 497,000 student enrollments in our language training courses, of which over 95% were in our English language training courses. Our interactive courses focus not only on reading and writing, but also on teaching and improving critical listening and speaking skills.</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recognize that students progress at different rates when learning foreign languages and our large number of students allows us to offer suitable courses at many different levels of proficiency. While we offer English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students of all age groups and with various motivations for learning English, we generally categorize our English language training courses into the following areas: (i) English for adults; (ii) English for children, including our recently added “Pop Kids” English program; (iii) English for middle school and high schools students; and (iv) “Elite English” for high-income adults and children of high-income families.</w:t>
      </w:r>
    </w:p>
    <w:p>
      <w:pPr>
        <w:spacing w:after="0" w:line="12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i w:val="1"/>
          <w:iCs w:val="1"/>
          <w:color w:val="auto"/>
        </w:rPr>
        <w:t>English for Adults</w:t>
      </w:r>
      <w:r>
        <w:rPr>
          <w:rFonts w:ascii="Arial" w:cs="Arial" w:eastAsia="Arial" w:hAnsi="Arial"/>
          <w:sz w:val="18"/>
          <w:szCs w:val="18"/>
          <w:color w:val="auto"/>
        </w:rPr>
        <w:t>. Historically, this has been the primary component of our English language training courses. Many employers in China,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foreign-invested enterprises, multinational corporations’ branch offices as well as domestic enterprises involved in international business transactions or the tourism industry, require their employees to have a high level of English proficiency.</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English for adults program offers courses designed to teach and improve college and other adult students’ English writing, reading, listening and speaking skills. Our schools and learning centers also have language labs at which our students can listen to and recite spoken passages on CDs and audio tapes to improve their listening and speaking skills. A typical course lasts for six to 12 weeks with classroom instruction one to four times per week for two to five hours per visit. We also offer more intensive and condensed versions of our courses, in particular during the summer months when many academic institutions are on summer break. Our English for adults courses typically consist of approximately 20 to 150 students per class.</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our fiscal year ended May 31, 2006, we had approximately 238,000 student enrollments in our English for adults courses. Approximately 34.2%, 12.2% and 11.1% of the total enrollments were for courses taught in Beijing, Shanghai and Guangzhou, respectively. Course fees for our English for adults courses range from RMB200 to RMB3,000 per course.</w:t>
      </w:r>
    </w:p>
    <w:p>
      <w:pPr>
        <w:spacing w:after="0" w:line="12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English for Children</w:t>
      </w:r>
      <w:r>
        <w:rPr>
          <w:rFonts w:ascii="Arial" w:cs="Arial" w:eastAsia="Arial" w:hAnsi="Arial"/>
          <w:sz w:val="18"/>
          <w:szCs w:val="18"/>
          <w:color w:val="auto"/>
        </w:rPr>
        <w:t>. We established our English for children program in 2002 for children in kindergarten through grade six and it has achieved rapid</w:t>
      </w:r>
      <w:r>
        <w:rPr>
          <w:rFonts w:ascii="Arial" w:cs="Arial" w:eastAsia="Arial" w:hAnsi="Arial"/>
          <w:sz w:val="18"/>
          <w:szCs w:val="18"/>
          <w:i w:val="1"/>
          <w:iCs w:val="1"/>
          <w:color w:val="auto"/>
        </w:rPr>
        <w:t xml:space="preserve"> </w:t>
      </w:r>
      <w:r>
        <w:rPr>
          <w:rFonts w:ascii="Arial" w:cs="Arial" w:eastAsia="Arial" w:hAnsi="Arial"/>
          <w:sz w:val="18"/>
          <w:szCs w:val="18"/>
          <w:color w:val="auto"/>
        </w:rPr>
        <w:t>growth. We designed our English for children program based upon the following principles: (i) we use localized materials originally published by international education content providers and publishers while taking into account the local public schools’ curricula, the skills and abilities of the individual child and adapting to his or her particular needs; (ii) we assist students in mastering the basics of the language in various fun ways, including interactive games, activities and cultural studies; and (iii) we give children a passion for learning the language and guide and inspire them to develop their self-learning abilities. In 2004, we established our “Pop Kids” English learning centers at which we attempt to immerse young kids in a fun and interactive English-speaking environment dedicated solely to children.</w:t>
      </w:r>
    </w:p>
    <w:p>
      <w:pPr>
        <w:spacing w:after="0" w:line="13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English for children classes are divided into classes of approximately 10 to 25 students per class. Students attend class one to two times per week for 1.5 to two hours per class. We test our students to measure their progress and make sure they are progressing as needed to advance to the next book and class level without jeopardizing the fundamentals that will allow them to excel in the future.</w:t>
      </w:r>
    </w:p>
    <w:p>
      <w:pPr>
        <w:spacing w:after="0" w:line="12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our fiscal year ended May 31, 2006, we had approximately 95,000 student enrollments in our English for children program. Approximately 35.1%, 18.6% and 10.5% of the enrollments took place in Wuhan, Beijing and Guangzhou, respectively. Course fees for our English for children courses range from RMB200 to RMB3,000 per course.</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English for Middle School and High School Students. </w:t>
      </w:r>
      <w:r>
        <w:rPr>
          <w:rFonts w:ascii="Arial" w:cs="Arial" w:eastAsia="Arial" w:hAnsi="Arial"/>
          <w:sz w:val="18"/>
          <w:szCs w:val="18"/>
          <w:color w:val="auto"/>
        </w:rPr>
        <w:t>English proficiency is tested as a major subject of entrance exams for admission into China’s high</w:t>
      </w:r>
      <w:r>
        <w:rPr>
          <w:rFonts w:ascii="Arial" w:cs="Arial" w:eastAsia="Arial" w:hAnsi="Arial"/>
          <w:sz w:val="18"/>
          <w:szCs w:val="18"/>
          <w:i w:val="1"/>
          <w:iCs w:val="1"/>
          <w:color w:val="auto"/>
        </w:rPr>
        <w:t xml:space="preserve"> </w:t>
      </w:r>
      <w:r>
        <w:rPr>
          <w:rFonts w:ascii="Arial" w:cs="Arial" w:eastAsia="Arial" w:hAnsi="Arial"/>
          <w:sz w:val="18"/>
          <w:szCs w:val="18"/>
          <w:color w:val="auto"/>
        </w:rPr>
        <w:t>schools, colleges and universities. Given the intense competition to gain admission into top high schools and higher education institutions in China, English exam scores can be a deciding factor in gaining admission. Our English language training courses for middle school and high school students are designed to supplement students’ regular school curricula and help students achieve better scores on English exams for admission into high schools or higher education institutions.</w:t>
      </w:r>
    </w:p>
    <w:p>
      <w:pPr>
        <w:spacing w:after="0" w:line="12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typical English courses for middle school and high school students last for eight to 16 weeks with classroom instruction one to four times per week for 90 minutes to five hours per visit. We also offer more intensive and condensed versions of our courses, in particular during the summer months when many academic institutions are on summer break. These courses typically consist of approximately 30 to 300 students per class.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our fiscal year ended May 31, 2006, we had approximately 145,000 student enrollments in our English language training courses for middle school and high school students. Approximately 32.6%, 9.8% and 9.7% of the enrollments took place in Beijing, Shanghai and Wuhan, respectively. Course fees for our English training courses for middle school and high school students range from RMB200 to RMB2,000 per course.</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“Elite English” for High-Income Adults and Children of High-Income Families</w:t>
      </w:r>
      <w:r>
        <w:rPr>
          <w:rFonts w:ascii="Arial" w:cs="Arial" w:eastAsia="Arial" w:hAnsi="Arial"/>
          <w:sz w:val="16"/>
          <w:szCs w:val="16"/>
          <w:color w:val="auto"/>
        </w:rPr>
        <w:t>. With the recent economic growth of China and increased sophistication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frequency of international business transactions, there is a growing demand for high-end, personalized, advanced English language training for high-income working professionals and other adults in large, economically prosperous cities. China’s economic growth has led to increased personal disposable income which, coupled with the “single child” policy and the potential rewards of English proficiency, has prompted Chinese families to spend a high percentage of their disposable income investing in their children’s English language education. We started our “Elite English” programs for high-income adults and children of high income families in 2003 in response to the market demand from high-income students and parents for such personalized instruction.</w:t>
      </w:r>
    </w:p>
    <w:p>
      <w:pPr>
        <w:spacing w:after="0" w:line="107"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While we have a standardized curriculum for our “Elite English” program, our trained teachers work closely with a small group of students to evaluate and customize the curriculum based on the progress and demands of the students. Our “Elite English” program is divided into classes of one to ten students per class.</w:t>
      </w:r>
    </w:p>
    <w:p>
      <w:pPr>
        <w:spacing w:after="0" w:line="4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our fiscal year ended May 31, 2006, we had approximately 3,200 students in our “Elite English” program at our four “Elite English” centers in Beijing. The schedules of our “Elite English” classes are more flexible in order to accommodate students’ schedules and are provided in up-scale locations and environments. We plan to continue growing this area of our business and to expand into other major cities in China, such as Shanghai and Guangzhou. Enrollment fees for our “Elite English” program generally range from RMB12,000 to RMB18,000 per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 Preparation Courses</w:t>
      </w:r>
    </w:p>
    <w:p>
      <w:pPr>
        <w:spacing w:after="0" w:line="158"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We offer test preparation courses to students taking language and entrance exams used by educational institutions in the United States, the PRC and Commonwealth countries. In our fiscal year ended May 31, 2006, we had over 375,000 student enrollments in our test preparation courses, of which approximately 121,000 were in overseas test preparation courses and 254,000 were in PRC test preparation courses.</w:t>
      </w:r>
    </w:p>
    <w:p>
      <w:pPr>
        <w:spacing w:after="0" w:line="9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offer test preparation courses for the following major overseas exams: TOEFL, TSE, SAT, ACT, IELTS, GRE, GMAT, LSAT, BEC and TOEIC. In addition, we offer test preparation classes for the following major PRC admissions tests: CET 4, CET 6, National English Test for Entrance into Master’s Degree Programs, National Math Test for Entrance of Master’s Degree Programs, Professional Title English Test and Public English Test System.</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our fiscal year ended May 31, 2006, approximately 39.6% and 24.4% of the total student enrollments in our overseas test preparation courses took place in Beijing and Shanghai, respectively, and approximately 37.6% of the total student enrollments in our PRC test preparation courses took place in Beijing, while approximately 9.0%, 6.6%, 6.0% and 6.0% of the total student enrollments in our domestic test preparation courses took place in Wuhan, Guangzhou, Shanghai and Xi’an, respectively.</w:t>
      </w:r>
    </w:p>
    <w:p>
      <w:pPr>
        <w:spacing w:after="0" w:line="13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test preparation courses focus on quality instruction and test-taking techniques designed to help students achieve high scores on the admissions and assessment tests. Our experienced teachers generally teach in large classes ranging from 50 students to 500 students. Our students enroll in a 20 to 160 hour program with classes meeting one to four times per week for approximately 2.5 hours per class. We also offer intensive and condensed versions of our courses, which are compacted into shorter time periods. Course fees for our test preparation courses range from RMB150 to RMB25,000 per course.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and Secondary School</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New Oriental China established the first full-time private primary and secondary school in Yangzhou in 2002. This is a private boarding school for students in grades one to twelve seeking a full curriculum taught in both Chinese and English, with a strong emphasis on English language training. We target parents who desire to provide their children with a global vision and an understanding and appreciation of both traditional Chinese culture and the modern world, a competitive advantage in academics and social development and English language proficiency. Our goal is to develop the Yangzhou school, and other new schools to be established in the future, into elite schools whose students consistently gain acceptance into the top universities in China and around the world.</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attempt to immerse our students in the English language at an early age through native English speaking teachers and activities designed to emphasize early and significant exposure to a bilingual environment. The Yangzhou private school has a capacity of up to 4,000 students. In 2005, we had approximately 2,300 students at the Yangzhou school, approximately 75% of whom came from Yangzhou, with the remainder from various parts of China. Our students must take an admission test and undergo an interview to gain acceptance into our school. There are over 219 teachers and 276 supporting staff at the Yangzhou school. The school has been regarded as one of the best primary and secondary schools in the local market since shortly after its inception. In 2005, the school accepted 780 students out of over 2,000 applicants from the local market as well as elsewhere in China.</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Yangzhou school has received various accreditations from local authorities. We work closely with the local educational authorities to make sure that our curriculum is compatible with public school curriculums and covers the full spectrum of required courses. We have also expanded our curriculum to include subjects, activities and techniques that teach the students to learn and think independently. There is less emphasis on memorization and recitation and greater emphasis on creative thinking and analytical activities. We use computers as a major part of our teaching and learning methods and encourage students to learn in an interactive format. In 2005, tuition at the Yangzhou school ranged from RMB5,000 to RMB10,000 per year.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Educational Content, Software and Other Technology Development and Distribution</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develop and edit content for educational materials for language training and test preparation, such as books, software, CD-ROMs, magazines and other periodicals, as well as “self-help,” “know-how” and “inspirational” books for our students and other readers. We distribute these materials through various distribution channels, consisting of our own classrooms and bookstores as well as third-party distributors, including over 5,000 bookstores in China. In our fiscal year ended May 31, 2006, we developed and edited over 80 titles and distributed approximately four million books authored or licensed by us in China. Over 95% of the materials distributed by us are education-related and include the materials that we use in our courses and also include a large number of titles that we market for use in English language area.</w:t>
      </w:r>
    </w:p>
    <w:p>
      <w:pPr>
        <w:spacing w:after="0" w:line="13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extensive distribution channels have attracted international education content providers to cooperate with us in distributing localized versions of their materials in China. We currently have arrangements with Pearson Education, The McGraw-Hill Companies and Cambridge University Press, or their respective authorized local publishers, to develop and distribute localized versions of selected educational materials in China bearing both our logo and the original publisher’s logo. We plan to establish additional strategic relationships with leading international education content providers to enrich our content offerings.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Education</w:t>
      </w:r>
    </w:p>
    <w:p>
      <w:pPr>
        <w:spacing w:after="0" w:line="15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We offer online education programs on our website </w:t>
      </w:r>
      <w:r>
        <w:rPr>
          <w:rFonts w:ascii="Arial" w:cs="Arial" w:eastAsia="Arial" w:hAnsi="Arial"/>
          <w:sz w:val="16"/>
          <w:szCs w:val="16"/>
          <w:i w:val="1"/>
          <w:iCs w:val="1"/>
          <w:color w:val="auto"/>
        </w:rPr>
        <w:t>www.koolearn.com</w:t>
      </w:r>
      <w:r>
        <w:rPr>
          <w:rFonts w:ascii="Arial" w:cs="Arial" w:eastAsia="Arial" w:hAnsi="Arial"/>
          <w:sz w:val="16"/>
          <w:szCs w:val="16"/>
          <w:color w:val="auto"/>
        </w:rPr>
        <w:t>. As of May 31, 2006, approximately two million users had registered accounts with us, giving them access to free informational content on our website. As of that date, we had approximately 200,000 users that paid for additional access to our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specialized education programs. These users purchase pre-paid cards that give them the right to use our paid content for a specific period of time or for specific courses. Course fees for our online courses range from RMB10 to RMB1,500 per course.</w:t>
      </w:r>
    </w:p>
    <w:p>
      <w:pPr>
        <w:spacing w:after="0" w:line="11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We currently offer approximately 300 online courses in language training courses, test preparation courses, professional certification courses, and business knowledge and skills training courses in the areas of accounting, legal, management and others. Our typical online courses last for 30 hours and each session normally lasts 15 minutes or less. We have live interactive online courses as well as courses that allow students to view replays of pre-recorded video tapes.</w:t>
      </w:r>
    </w:p>
    <w:p>
      <w:pPr>
        <w:spacing w:after="0" w:line="7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online courses are particularly attractive to students who need the flexibility to prepare at any time of the day or night and on short notice. Our online tools provide more flexibility by offering our students the ability to choose their best and most convenient way of learning as they experience our programs.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Overseas Studies Consulting. </w:t>
      </w:r>
      <w:r>
        <w:rPr>
          <w:rFonts w:ascii="Arial" w:cs="Arial" w:eastAsia="Arial" w:hAnsi="Arial"/>
          <w:sz w:val="18"/>
          <w:szCs w:val="18"/>
          <w:color w:val="auto"/>
        </w:rPr>
        <w:t>Our consultants help students through the application and admission process for overseas educational institutions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useful college, graduate and career counseling advice to help students to make informed decisions. We also counsel students with the immigration process for overseas studies, such as obtaining visas and student and off-campus housing. We charge each student a fee based on the scope of consulting services requested by the student.</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Post-Secondary Education. </w:t>
      </w:r>
      <w:r>
        <w:rPr>
          <w:rFonts w:ascii="Arial" w:cs="Arial" w:eastAsia="Arial" w:hAnsi="Arial"/>
          <w:sz w:val="18"/>
          <w:szCs w:val="18"/>
          <w:color w:val="auto"/>
        </w:rPr>
        <w:t>We provide post-secondary educational programs to help students seek career opportunities requiring English proficiency,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interpreters for international trade organizations. Such programs normally last for two years. Students have the flexibility to enroll in specific courses of interest or to enroll in the full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Student Recruitment</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employ a variety of marketing and recruiting methods to attract students and increase enrollments. We have positioned ourselves as a provider of private educational services that inspires students to achieve their potential and build self-confidence and that boosts students’ enthusiasm for learning. We believe prospective students are attracted to our schools due to our excellent brand name, the quality of our programs and our relatively long operating history in the private education sector.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employ the following marketing methods to attract new and returning students:</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Speeches and Seminars</w:t>
      </w:r>
      <w:r>
        <w:rPr>
          <w:rFonts w:ascii="Arial" w:cs="Arial" w:eastAsia="Arial" w:hAnsi="Arial"/>
          <w:sz w:val="16"/>
          <w:szCs w:val="16"/>
          <w:color w:val="auto"/>
        </w:rPr>
        <w:t>. Our management, most of whom are experienced teachers and were among our earliest teachers, and our top teachers frequently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give speeches at colleges, universities, high schools and middle schools and to student groups, parent groups and educational organizations. They also participate in educational seminars and workshops. Our speeches include direct program promotion speeches during which we directly explain the merits and advantages of our programs or general English learning methods, as well as inspirational speeches designed to motivate students to reach their full potential and strive for success. In 2005, our management and teachers gave a total of over 3,800 speeches and seminars in China.</w:t>
      </w:r>
    </w:p>
    <w:p>
      <w:pPr>
        <w:spacing w:after="0" w:line="1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Referrals. </w:t>
      </w:r>
      <w:r>
        <w:rPr>
          <w:rFonts w:ascii="Arial" w:cs="Arial" w:eastAsia="Arial" w:hAnsi="Arial"/>
          <w:sz w:val="18"/>
          <w:szCs w:val="18"/>
          <w:color w:val="auto"/>
        </w:rPr>
        <w:t>Historically, our student enrollments have grown primarily through word-of-mouth referrals. Our student enrollments have benefited and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benefit by referrals from our extensive network of students and alumni and the successful academic and professional careers that many of them have achieved.</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Distribution of Marketing Materials</w:t>
      </w:r>
      <w:r>
        <w:rPr>
          <w:rFonts w:ascii="Arial" w:cs="Arial" w:eastAsia="Arial" w:hAnsi="Arial"/>
          <w:sz w:val="18"/>
          <w:szCs w:val="18"/>
          <w:color w:val="auto"/>
        </w:rPr>
        <w:t>. We use New Oriental “booths” and “information tables” to distribute free inspirational books authored by Michael</w:t>
      </w:r>
      <w:r>
        <w:rPr>
          <w:rFonts w:ascii="Arial" w:cs="Arial" w:eastAsia="Arial" w:hAnsi="Arial"/>
          <w:sz w:val="18"/>
          <w:szCs w:val="18"/>
          <w:i w:val="1"/>
          <w:iCs w:val="1"/>
          <w:color w:val="auto"/>
        </w:rPr>
        <w:t xml:space="preserve"> </w:t>
      </w:r>
      <w:r>
        <w:rPr>
          <w:rFonts w:ascii="Arial" w:cs="Arial" w:eastAsia="Arial" w:hAnsi="Arial"/>
          <w:sz w:val="18"/>
          <w:szCs w:val="18"/>
          <w:color w:val="auto"/>
        </w:rPr>
        <w:t>Minhong Yu and others, informational brochures, posters and flyers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various on-campus events, educational expos, conferences and college and employment fairs. We also conduct extensive free information sessions to introduce our programs to our target markets.</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 xml:space="preserve">Advertisements. </w:t>
      </w:r>
      <w:r>
        <w:rPr>
          <w:rFonts w:ascii="Arial" w:cs="Arial" w:eastAsia="Arial" w:hAnsi="Arial"/>
          <w:sz w:val="16"/>
          <w:szCs w:val="16"/>
          <w:color w:val="auto"/>
        </w:rPr>
        <w:t>We advertise through our own websites and also on China’s leading portals, such as Sina.com and Sohu.com. We also have advertising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with many Chinese national and regional newspapers and other media outlets, including school campus newspapers.</w:t>
      </w:r>
    </w:p>
    <w:p>
      <w:pPr>
        <w:spacing w:after="0" w:line="7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Social Events and Activities</w:t>
      </w:r>
      <w:r>
        <w:rPr>
          <w:rFonts w:ascii="Arial" w:cs="Arial" w:eastAsia="Arial" w:hAnsi="Arial"/>
          <w:sz w:val="18"/>
          <w:szCs w:val="18"/>
          <w:color w:val="auto"/>
        </w:rPr>
        <w:t>. We participate in and host community events designed to promote awareness of the virtues of education. We believe that these</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our public image and increase brand awareness. We also host English speech competitions, English drama performances and cultural events designed to raise enthusiasm for English language learning and to further promote awareness of our brand.</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Cross-Selling</w:t>
      </w:r>
      <w:r>
        <w:rPr>
          <w:rFonts w:ascii="Arial" w:cs="Arial" w:eastAsia="Arial" w:hAnsi="Arial"/>
          <w:sz w:val="16"/>
          <w:szCs w:val="16"/>
          <w:color w:val="auto"/>
        </w:rPr>
        <w:t>. As we gain footholds in many different markets, we use our programs in one market as an opportunity to advertise our programs 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With a variety of programs aimed at different age groups, our goal is to create a brand name that permeates every stage of our potential students’ educational, career and life progression, from English for children to English for adults to test preparation to “Elite English” to continuing professional education, and to encourage our students to introduce their children to the same system and courses. Outside of our organization, we have established cross-promotional relationships with a number of companies, to promote our programs, services and products and awareness of our brand.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Faculty and Employees</w:t>
      </w:r>
    </w:p>
    <w:p>
      <w:pPr>
        <w:spacing w:after="0" w:line="16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believe that our dedicated and capable faculty is critical to our success. As our teachers interact with our students on a daily basis, they are critical to maintaining the quality of our programs, services and products and to maintaining our brand and reputation. We seek to continue to hire teachers who have a strong command of the subject areas to be taught and meet our qualifications. Equally important, we seek to hire teachers who are capable of delivering innovative and inspirational instruction. We aim to continue to recruit qualified teachers through a strict multi-step recruitment process, including lecture auditions, while offering a compensation package that is higher than the market standard.</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New teachers are required to undergo a job training period, during which they receive trainings in teaching skills and techniques, subject matter of relevant courses and school culture and philosophy. We also provide continuous training so that our teachers can stay abreast of changes in student demands, admissions and assessment tests, admissions standards and other key trends necessary to teach effectively. Our teachers are evaluated by students and a majority of their overall compensation consists of bonuses based on these evaluations. We also perform periodic peer observations of a significant number of our teachers to monitor their teaching performance in the classrooms. In addition, we provide capable and experienced teachers with opportunities to be promoted to management roles. Currently, almost all of our schools are managed by the selected members of our faculty.</w:t>
      </w:r>
    </w:p>
    <w:p>
      <w:pPr>
        <w:spacing w:after="0" w:line="10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We believe that our relatively high base salaries compared to our competitors, performance-based bonuses, career advancement opportunities, team spirit and continuous training allow us to recruit and retain the best talent. In each of 2003 through 2005, less than 10% of applicants were hired as our teachers.</w:t>
      </w:r>
    </w:p>
    <w:p>
      <w:pPr>
        <w:spacing w:after="0" w:line="49" w:lineRule="exact"/>
        <w:rPr>
          <w:sz w:val="20"/>
          <w:szCs w:val="20"/>
          <w:color w:val="auto"/>
        </w:rPr>
      </w:pPr>
    </w:p>
    <w:p>
      <w:pPr>
        <w:ind w:right="80" w:firstLine="456"/>
        <w:spacing w:after="0" w:line="422" w:lineRule="auto"/>
        <w:rPr>
          <w:sz w:val="20"/>
          <w:szCs w:val="20"/>
          <w:color w:val="auto"/>
        </w:rPr>
      </w:pPr>
      <w:r>
        <w:rPr>
          <w:rFonts w:ascii="Arial" w:cs="Arial" w:eastAsia="Arial" w:hAnsi="Arial"/>
          <w:sz w:val="18"/>
          <w:szCs w:val="18"/>
          <w:color w:val="auto"/>
        </w:rPr>
        <w:t xml:space="preserve">We had 1,654, 2,240 and 2,559 full time employees and 819, 1,252 and 1,488 contract teachers and staff as of May 31, 2004, 2005 and 2006, respectively. </w:t>
      </w:r>
      <w:r>
        <w:rPr>
          <w:rFonts w:ascii="Arial" w:cs="Arial" w:eastAsia="Arial" w:hAnsi="Arial"/>
          <w:sz w:val="18"/>
          <w:szCs w:val="18"/>
          <w:b w:val="1"/>
          <w:bCs w:val="1"/>
          <w:color w:val="auto"/>
        </w:rPr>
        <w:t>Competition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private education sector in China is rapidly evolving, highly fragmented and competitive, and we expect competition in this sector to persist and intensify. We face competition in each major program we offer and each geographic market in which we operate. None of our competitors focuses on as broad a spectrum of programs,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products and services as we provide. Instead, our competitors focus on targeted markets, both in terms of the particular segments of students they aim to attract and the local markets in which they operate.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example, we face nationwide competition for our IELTS preparation courses from Global IELTS School, which offers IELTS preparation courses in many cities in China. We face regional competition for our English for children program from several competitors that focus on children’s English language training in specific regions, including English First. We face competition for our “Elite English” program primarily from Wall Street Institute and English First, both of which offer English language training courses for adults in many cities in China. Wall Street Institute began providing high-end English language training courses to adults in major cities several years before we entered this market and enjoys a first-mover advantage. We also face limited competition from many competitors that focus on providing international and/or PRC test preparation courses in specific geographic markets in China.</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principal competitive factors in our markets include the following:</w:t>
      </w:r>
    </w:p>
    <w:p>
      <w:pPr>
        <w:spacing w:after="0" w:line="158"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overall student experience;</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ability to effectively market programs, services and products to a broad base of prospective students;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scope and quality of program, service and product offerings;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alignment of programs, services and products catering to specific needs of students, parents, educators and employers.</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that our primary competitive advantages are our well-known “New Oriental” brand, our innovative and inspirational instruction methods and the breadth and quality of our programs, services and products. However, some of our existing and potential competitors may have more resources than we do. These competitors may be able to devote greater resources than we can to the development, promotion and sale of their programs, services and products and respond more quickly than we can to changes in student demands, testing materials, admissions standards, market needs or new technologies. In addition, we face competition from many different smaller sized organizations that focus on some of our targeted markets, which may be able to respond more promptly to changes in student preferences in these markets.</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the increasing use of the Internet and advances in Internet- and computer-related technologies, such as web video conferencing and online testing simulators, are eliminating geographic and cost-entry barriers to providing private educational services. As a result, many of our international competitors that offer online test preparation and language training courses, such as The Princeton Review, Inc. and Kaplan, Inc. may be able to more effectively penetrate the China market. Many of these international competitors have strong education brands, and students and parents in China may be attracted to the offerings of international competitors based in the country that the student wishes to study in or in which the selected language is widely spoken. In addition, many smaller companies are able to use the Internet to quickly and cost-effectively offer their programs, services and products to a large number of students with less capital expenditure than previously required.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technology platform is designed to provide systems that help distinguish us in the marketplace, operate cost-effectively and accommodate future growth. We currently use a combination of commercially available and custom developed software and hardware systems. Our technology platform is a combination of e-learning platforms, alumni platforms, content management systems, exam platforms, e-business promotion platforms and bookstore platforms, live Internet classrooms, as well as licensed speech recognition platforms. Our investment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in system infrastructure has several key benefits: simplification of the storage and processing of large amounts of data, facilitation of the deployment and operation of large-scale programs and services and automation of much of the administration of our business. It also provides us with the ability to scale both capacity and functionality and build large clusters seamlessly. Currently, approximately 3,000 students can use our online systems at the same time.</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One of our ongoing primary objectives is to maintain reliable systems. We have implemented performance monitoring for all key web and business systems to enable us to respond quickly to potential problems. Based on cluster technology, our system can identify errors and isolate failed servers automatically so that our clients can access our services at any time. Our web sites are hosted at third party facilities in Beijing. This facility provides redundant utility systems, a backup electric generator and 24-hour a day server support. All servers have redundant power supplies and file systems to maximize system and data availability. We regularly back up our database on a server hosted at an Internet data center to minimize the impact of data loss due to system failures.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4"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Our trademarks, copyrights, trade secrets and other intellectual property rights distinguish our services and products from those of our competitors, and contribute to our competitive advantage in our target markets. To protect our brand and other intellectual property, we rely on a combination of trademark,</w:t>
      </w:r>
    </w:p>
    <w:p>
      <w:pPr>
        <w:spacing w:after="0"/>
        <w:rPr>
          <w:sz w:val="20"/>
          <w:szCs w:val="20"/>
          <w:color w:val="auto"/>
        </w:rPr>
      </w:pPr>
      <w:r>
        <w:rPr>
          <w:rFonts w:ascii="Arial" w:cs="Arial" w:eastAsia="Arial" w:hAnsi="Arial"/>
          <w:sz w:val="16"/>
          <w:szCs w:val="16"/>
          <w:color w:val="auto"/>
        </w:rPr>
        <w:t xml:space="preserve">copyright and trade secret laws as well as confidentiality agreements with our employees, contractors and others. </w:t>
      </w:r>
      <w:r>
        <w:rPr>
          <w:sz w:val="1"/>
          <w:szCs w:val="1"/>
          <w:color w:val="auto"/>
        </w:rPr>
        <w:drawing>
          <wp:inline distT="0" distB="0" distL="0" distR="0">
            <wp:extent cx="420370" cy="9461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0370" cy="94615"/>
                    </a:xfrm>
                    <a:prstGeom prst="rect">
                      <a:avLst/>
                    </a:prstGeom>
                    <a:noFill/>
                    <a:ln>
                      <a:noFill/>
                    </a:ln>
                  </pic:spPr>
                </pic:pic>
              </a:graphicData>
            </a:graphic>
          </wp:inline>
        </w:drawing>
      </w:r>
      <w:r>
        <w:rPr>
          <w:rFonts w:ascii="Arial" w:cs="Arial" w:eastAsia="Arial" w:hAnsi="Arial"/>
          <w:sz w:val="16"/>
          <w:szCs w:val="16"/>
          <w:color w:val="auto"/>
        </w:rPr>
        <w:t xml:space="preserve"> and “New Oriental” are registered</w:t>
      </w:r>
    </w:p>
    <w:p>
      <w:pPr>
        <w:spacing w:after="0" w:line="3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trademarks in China and have been recognized as the “well-known” trademarks ( </w:t>
      </w:r>
      <w:r>
        <w:rPr>
          <w:sz w:val="1"/>
          <w:szCs w:val="1"/>
          <w:color w:val="auto"/>
        </w:rPr>
        <w:drawing>
          <wp:inline distT="0" distB="0" distL="0" distR="0">
            <wp:extent cx="403225" cy="9461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r>
        <w:rPr>
          <w:rFonts w:ascii="Arial" w:cs="Arial" w:eastAsia="Arial" w:hAnsi="Arial"/>
          <w:sz w:val="18"/>
          <w:szCs w:val="18"/>
          <w:color w:val="auto"/>
        </w:rPr>
        <w:t xml:space="preserve">) in a civil action adjudicated in China. We have also registered additional trademarks and logos, including “Pop Kids” and “Elite English” with the Trademark Office of the State Administration for Industry and Commerce in China. Our main websites are located at </w:t>
      </w:r>
      <w:r>
        <w:rPr>
          <w:rFonts w:ascii="Arial" w:cs="Arial" w:eastAsia="Arial" w:hAnsi="Arial"/>
          <w:sz w:val="18"/>
          <w:szCs w:val="18"/>
          <w:i w:val="1"/>
          <w:iCs w:val="1"/>
          <w:color w:val="auto"/>
        </w:rPr>
        <w:t>www.neworiental.org</w:t>
      </w:r>
      <w:r>
        <w:rPr>
          <w:rFonts w:ascii="Arial" w:cs="Arial" w:eastAsia="Arial" w:hAnsi="Arial"/>
          <w:sz w:val="18"/>
          <w:szCs w:val="18"/>
          <w:color w:val="auto"/>
        </w:rPr>
        <w:t xml:space="preserve">, </w:t>
      </w:r>
      <w:r>
        <w:rPr>
          <w:rFonts w:ascii="Arial" w:cs="Arial" w:eastAsia="Arial" w:hAnsi="Arial"/>
          <w:sz w:val="18"/>
          <w:szCs w:val="18"/>
          <w:i w:val="1"/>
          <w:iCs w:val="1"/>
          <w:color w:val="auto"/>
        </w:rPr>
        <w:t>www.tol24.com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www.koolearn.com</w:t>
      </w:r>
      <w:r>
        <w:rPr>
          <w:rFonts w:ascii="Arial" w:cs="Arial" w:eastAsia="Arial" w:hAnsi="Arial"/>
          <w:sz w:val="18"/>
          <w:szCs w:val="18"/>
          <w:color w:val="auto"/>
        </w:rPr>
        <w:t>. In addition, we have registered the following domain names: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www.dogwood.com.cn</w:t>
            </w:r>
          </w:p>
        </w:tc>
        <w:tc>
          <w:tcPr>
            <w:tcW w:w="3860" w:type="dxa"/>
            <w:vAlign w:val="bottom"/>
          </w:tcPr>
          <w:p>
            <w:pPr>
              <w:ind w:left="1240"/>
              <w:spacing w:after="0"/>
              <w:rPr>
                <w:sz w:val="20"/>
                <w:szCs w:val="20"/>
                <w:color w:val="auto"/>
              </w:rPr>
            </w:pPr>
            <w:r>
              <w:rPr>
                <w:rFonts w:ascii="Arial" w:cs="Arial" w:eastAsia="Arial" w:hAnsi="Arial"/>
                <w:sz w:val="18"/>
                <w:szCs w:val="18"/>
                <w:color w:val="auto"/>
              </w:rPr>
              <w:t>www.xdf.cn</w:t>
            </w:r>
          </w:p>
        </w:tc>
        <w:tc>
          <w:tcPr>
            <w:tcW w:w="3020" w:type="dxa"/>
            <w:vAlign w:val="bottom"/>
          </w:tcPr>
          <w:p>
            <w:pPr>
              <w:ind w:left="1160"/>
              <w:spacing w:after="0"/>
              <w:rPr>
                <w:sz w:val="20"/>
                <w:szCs w:val="20"/>
                <w:color w:val="auto"/>
              </w:rPr>
            </w:pPr>
            <w:r>
              <w:rPr>
                <w:rFonts w:ascii="Arial" w:cs="Arial" w:eastAsia="Arial" w:hAnsi="Arial"/>
                <w:sz w:val="18"/>
                <w:szCs w:val="18"/>
                <w:color w:val="auto"/>
                <w:w w:val="89"/>
              </w:rPr>
              <w:t>www.xindongfang.com.cn</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www.gznos.org</w:t>
            </w:r>
          </w:p>
        </w:tc>
        <w:tc>
          <w:tcPr>
            <w:tcW w:w="3860" w:type="dxa"/>
            <w:vAlign w:val="bottom"/>
          </w:tcPr>
          <w:p>
            <w:pPr>
              <w:ind w:left="1240"/>
              <w:spacing w:after="0"/>
              <w:rPr>
                <w:sz w:val="20"/>
                <w:szCs w:val="20"/>
                <w:color w:val="auto"/>
              </w:rPr>
            </w:pPr>
            <w:r>
              <w:rPr>
                <w:rFonts w:ascii="Arial" w:cs="Arial" w:eastAsia="Arial" w:hAnsi="Arial"/>
                <w:sz w:val="18"/>
                <w:szCs w:val="18"/>
                <w:color w:val="auto"/>
              </w:rPr>
              <w:t>www.51qiantu.com</w:t>
            </w:r>
          </w:p>
        </w:tc>
        <w:tc>
          <w:tcPr>
            <w:tcW w:w="3020" w:type="dxa"/>
            <w:vAlign w:val="bottom"/>
          </w:tcPr>
          <w:p>
            <w:pPr>
              <w:ind w:left="1160"/>
              <w:spacing w:after="0"/>
              <w:rPr>
                <w:sz w:val="20"/>
                <w:szCs w:val="20"/>
                <w:color w:val="auto"/>
              </w:rPr>
            </w:pPr>
            <w:r>
              <w:rPr>
                <w:rFonts w:ascii="Arial" w:cs="Arial" w:eastAsia="Arial" w:hAnsi="Arial"/>
                <w:sz w:val="18"/>
                <w:szCs w:val="18"/>
                <w:color w:val="auto"/>
              </w:rPr>
              <w:t>popkids.com.cn</w:t>
            </w: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www.softabc.com</w:t>
            </w:r>
          </w:p>
        </w:tc>
        <w:tc>
          <w:tcPr>
            <w:tcW w:w="3860" w:type="dxa"/>
            <w:vAlign w:val="bottom"/>
          </w:tcPr>
          <w:p>
            <w:pPr>
              <w:ind w:left="1240"/>
              <w:spacing w:after="0"/>
              <w:rPr>
                <w:sz w:val="20"/>
                <w:szCs w:val="20"/>
                <w:color w:val="auto"/>
              </w:rPr>
            </w:pPr>
            <w:r>
              <w:rPr>
                <w:rFonts w:ascii="Arial" w:cs="Arial" w:eastAsia="Arial" w:hAnsi="Arial"/>
                <w:sz w:val="18"/>
                <w:szCs w:val="18"/>
                <w:color w:val="auto"/>
              </w:rPr>
              <w:t>www.softabc.com.cn</w:t>
            </w:r>
          </w:p>
        </w:tc>
        <w:tc>
          <w:tcPr>
            <w:tcW w:w="3020" w:type="dxa"/>
            <w:vAlign w:val="bottom"/>
          </w:tcPr>
          <w:p>
            <w:pPr>
              <w:ind w:left="1160"/>
              <w:spacing w:after="0"/>
              <w:rPr>
                <w:sz w:val="20"/>
                <w:szCs w:val="20"/>
                <w:color w:val="auto"/>
              </w:rPr>
            </w:pPr>
            <w:r>
              <w:rPr>
                <w:rFonts w:ascii="Arial" w:cs="Arial" w:eastAsia="Arial" w:hAnsi="Arial"/>
                <w:sz w:val="18"/>
                <w:szCs w:val="18"/>
                <w:color w:val="auto"/>
                <w:w w:val="91"/>
              </w:rPr>
              <w:t>www.neworiental-k12.org</w:t>
            </w:r>
          </w:p>
        </w:tc>
      </w:tr>
    </w:tbl>
    <w:p>
      <w:pPr>
        <w:spacing w:after="0" w:line="1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order to develop, improve, market and deliver new programs and services, we are required to obtain licenses from others from time to time. For example, we currently have arrangements with international education content providers and publishers such as Pearson Education, The McGraw-Hill Companies and Cambridge University Press or their respective authorized local publishers, to develop and distribute localized versions of specified books in China. There can be no assurance that we will be able to continue to obtain licenses on commercially reasonable terms or at all or that rights granted under any licenses will be valid and enforceable.</w:t>
      </w:r>
    </w:p>
    <w:p>
      <w:pPr>
        <w:spacing w:after="0" w:line="12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cannot be sure that our efforts to protect our intellectual property rights will be adequate or that third parties will not infringe or misappropriate these rights. In addition, there can be no assurance that competitors will not independently develop similar intellectual property. If others are able to copy and use our programs and services, we may not be able to maintain our competitive position. Furthermore, the application of laws governing intellectual property rights in China and abroad is uncertain and evolving and could involve substantial risks to us. If litigation is necessary to enforce our intellectual property rights or determine the scope of the proprietary rights of others, we may have to incur substantial costs or divert other resources, which could harm our business.</w:t>
      </w:r>
    </w:p>
    <w:p>
      <w:pPr>
        <w:spacing w:after="0" w:line="10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addition, competitors, content providers, publishers and others may claim that we have infringed their intellectual property rights. Defending any such lawsuit, whether with or without merit, could be time-consuming, result in costly litigation or prevent us from offering our programs and services, which could harm our business. If a lawsuit against us is successful, we may lose the rights to use our products or be required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modify them, or we may have to pay financial damages. See “Risk Factors—Risks Related to Our Business—Third parties may bring intellectual property infringement claims against us based on the content of the books and other materials that we or our teachers author and/or distribute.”</w:t>
      </w:r>
    </w:p>
    <w:p>
      <w:pPr>
        <w:spacing w:after="0" w:line="7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have recently adopted guidelines, procedures and safeguards designed to educate our employees and contractors regarding the importance of respecting the intellectual property rights of third parties, and detect and prevent any conduct or activities by our employees or contractors that infringe or have the potential to infringe upon such third-party rights. The guidelines specify certain key principles and policies that we require all of our employees and contractors to uphold as a fundamental condition of their employment. We have also begun to require our managerial employees, teachers, sales and marketing personnel as well as content development staff to attend periodic intellectual property training sessions that are tailored to their specific roles and tasks within our company. The procedures and safeguards we have implemented to ensure compliance with these principles and policies include the assignment of dedicated staff to monitor and enforce compliance with these intellectual property guidelines, including in particular our content control group, which reviews the content of our course materials to ensure that no infringing materials are used in our classrooms. We have also made efforts to ensure that our marketing materials are reviewed and approved by appropriate management before being distributed to the public. In addition, we will retain our outside counsel to conduct periodic training sessions for our managerial and other employees. We believe these guidelines, procedures and safeguards will further improve our ability to avoid infringing or potentially infringing activities, minimize our exposure to third party claims and protect our reputation as a company that respects the intellectual property rights of third parties.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headquarters are located in Beijing, China, where we own approximately 14,000 square meters of office and classroom space. In addition, we lease and own an aggregate of approximately 320,000 square meters of space for our schools, learning centers and bookstores. We lease all of our facilities except for our Yangzhou school and part of the premises for our headquarters in Beijing and our schools in Xi’an and Tianjin. Our headquarters in Beijing and our Yangzhou school are subject to a mortgage for a total principal amount of RMB125.7 million (US$15.7 million) in favor of third-party commercial lenders as of May 31, 2006. For detailed information about the locations of our facilities and the terms of our facility leases, see “—Our Network” and “Notes to the Financial Statements for the Fiscal Years Ended May 31, 2004, 2005 and 2006—Note 10”.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64"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color w:val="auto"/>
        </w:rPr>
        <w:t>From time to time, we are subject to legal proceedings, investigations and claims incidental to the conduct of our business. We are not currently a party to any legal proceeding or investigation which, in the opinion of our management, is likely to have a material adverse effect on our business or financial condition.</w:t>
      </w:r>
    </w:p>
    <w:p>
      <w:pPr>
        <w:spacing w:after="0" w:line="4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been subject to copyright, trademark and trade name infringement claims and legal proceedings in the past which related to, among other things, infringement of third parties’ copyrights in materials distributed by us and the unauthorized use of a third party’s name in connection with the marketing and promotion of one of our programs, and we may be subject to similar claims and legal proceedings from time to time in the future. See “Risk Factors—Risks Related to Our Business—Third parties have in the past brought intellectual property infringement claims against us based on the content of the books and other teaching or marketing materials that we or our teachers authored and/or distributed and may bring similar claims against us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REGULATIONS</w:t>
      </w:r>
    </w:p>
    <w:p>
      <w:pPr>
        <w:spacing w:after="0" w:line="164"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PRC government regulates the education services industry. This section summarizes the principal PRC regulations relating to our businesses.</w:t>
      </w:r>
    </w:p>
    <w:p>
      <w:pPr>
        <w:spacing w:after="0" w:line="18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operate our business in China under a legal regime consisting of the State Council, which is the highest authority of the executive branch of the PRC central government, and several ministries and agencies under its authority, including the Ministry of Education, or MOE, the General Administration of Press and Publication, or GAPP, the Ministry of Information Industry, or MII, the State Administration for Industry and Commerce, or SAIC, the Ministry of Civil Affairs, or MCA, and their respective authorized local counterparts.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Private Education</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principal regulations governing private education in China consist of the Education Law of the PRC, The Law for Promoting Private Education (2003) and The Implementation Rules for the Law for Promoting Private Education (2004), and the Regulations on Chinese-Foreign Cooperation in Operating Schools. Below is a summary of relevant provisions of these regulations.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 Law of the PRC</w:t>
      </w:r>
    </w:p>
    <w:p>
      <w:pPr>
        <w:spacing w:after="0" w:line="15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On March 18, 1995, the National People’s Congress enacted the Education Law of the PRC. The Education Law sets forth provisions relating to the fundamental education systems of the PRC, including a school system of pre-school education, primary education, secondary education and higher education, a system of nine-year compulsory education and a system of education certificates. The Education Law stipulates that the government formulates plans for the development of education and establishes and operates schools and other institutions of education and in principle, enterprises, social organizations and individuals are encouraged to operate schools and other types of educational organizations in accordance with PRC laws and regulations. Meanwhile, no organization or individual may establish or operate a school or any other institution of education for profit-making purposes. However, private schools may be operated for “reasonable returns,” as described in more detail below.</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Law for Promoting Private Education (2003) and The Implementation Rules for the Law for Promoting Private Education (2004)</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Law for Promoting Private Education (2003) became effective on September 1, 2003, and The Implementation Rules for the Law for Promoting Private Education (2004) became effective on April 1, 2004. Under these regulations, “private schools” are defined as schools established by social organizations or individuals using non-government funds. In addition, private schools providing certifications, pre-school education, education for self-study aid and other academic education shall be subject to approval by the education authorities, while private schools engaging in occupational qualification training and occupational skill training shall be subject to approvals from the authorities in charge of labor and social welfare. A duly approved private school will be granted a Permit for operating a Private School, and shall be registered with the MCA or its local counterparts as a privately run non-enterprise institution. Each of our schools has obtained the Permit for operating a Private School and has been registered with the relevant local counterpart of the MCA.</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above regulations, private schools have the same status as public schools, though private schools are prohibited from providing military, police, political and other kinds of education which are of a special nature. Government-run schools that provide compulsory education are not permitted to be converted into private schools. In addition, the operation of a private school is highly regulated. For example, the types and amounts of fees charged by a private school providing certifications shall be approved by the governmental pricing authority and be publicly disclosed. A private school that does not provide certifications shall file its pricing information with the governmental pricing authority and publicly disclose such information. Except for the school in Yangzhou, which provides graduation certifications to students, none of the schools operated by New Oriental China provides a diploma or certification to students.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Private education is treated as a public welfare undertaking under the regulations. Nonetheless, investors of a private school may choose to require “reasonable returns” from the annual net balance of the school after deduction of costs, donations received, government subsidies, if any, the reserved development fund and other expenses as required by the regulations. Private schools are divided into three categories: private schools established with donated funds; private schools that require reasonable returns and private schools that do not require reasonable returns.</w:t>
      </w:r>
    </w:p>
    <w:p>
      <w:pPr>
        <w:spacing w:after="0" w:line="99"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election to establish a private school requiring reasonable returns shall be provided in the articles of association of the school. The percentage of the school’s annual net balance that can be distributed as reasonable return shall be determined by the school’s board of directors, taking into consideration the following factors: (i) items and criteria for the school’s fees, (ii) the ratio of the school’s expenses used for educational activities and improving the educational conditions to the total fees collected; and (iii) the admission standards and educational quality. The relevant information relating to the above factors shall be publicly disclosed before the school’s board determines the percentage of the school’s annual net balance that can be distributed as reasonable returns. Such information and the decision to distribute reasonable returns shall also be filed with the approval authorities within 15 days from the decision made by the board. However, none of the current PRC laws and regulations provides a formula or guidelines for determining “reasonable returns.” In addition, none of the current PRC laws and regulations sets forth different requirements or restrictions on a private school’s ability to operate its education business based on such school’s status as a school that requires reasonable returns or a school that does not require reasonable returns.</w:t>
      </w:r>
    </w:p>
    <w:p>
      <w:pPr>
        <w:spacing w:after="0" w:line="10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At the end of each fiscal year, every private school is required to allocate a certain amount to its development fund for the construction or maintenance of the school or procurement or upgrade of educational equipment. In the case of a private school that requires reasonable returns, this amount shall be no less than 25% of the annual net income of the school, while in the case of a private school that does not require reasonable returns, this amount shall be equal to no less than 25% of the annual increase in the net assets of the school, if any. Private schools that do not require reasonable returns shall be entitled to the same preferential tax treatment as public schools, while the preferential tax treatment policies applicable to private schools requiring reasonable returns shall be formulated by the finance authority, taxation authority and other authorities under the State Council. To date, however, no regulations have been promulgated by the relevant authorities in this regard.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Chinese-Foreign Cooperation in Operating Schools</w:t>
      </w:r>
    </w:p>
    <w:p>
      <w:pPr>
        <w:spacing w:after="0" w:line="15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Chinese-foreign cooperation in operating schools or training programs is specifically governed by the Regulations on Operating Chinese-foreign Schools, promulgated by the State Council in 2003 in accordance with the Education Law, the Occupational Education Law and the Law for Promoting Private Education, and the Implementing Rules for the Regulations on Operating Chinese-foreign Schools, or the Implementing Rules, which were issued by the MOE in 2004.</w:t>
      </w:r>
    </w:p>
    <w:p>
      <w:pPr>
        <w:spacing w:after="0" w:line="9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Regulations on Operating Chinese-foreign Schools and its Implementing Rules encourage substantive cooperation between overseas educational organizations with relevant qualifications and experience in providing high-quality education and Chinese educational organizations to jointly operate various types of schools in the PRC, with such cooperation in the areas of higher education and occupational education being encouraged. Chinese-foreign cooperative schools are not permitted, however, to engage in compulsory education and military, police, political and other kinds of education that are of a special nature in the PRC.</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Permits for Chinese-foreign Cooperation in Operating Schools shall be obtained from the relevant education authorities or the authorities that regulate labor and social welfare in the PRC.</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not applied for a permit for Chinese-foreign Cooperation in Operating Schools at this stage since all of our schools are operated by New Oriental China.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Online and Distance Education</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Pursuant to the Administrative Regulations on Educational Websites and Online and Distance Education Schools issued by the MOE in 2000, educational websites and online education schools may provide educational services in relation to higher education, elementary education, pre-school education, teaching education, occupational education, adult education, other education and public educational information services. “Educational websites” refers to organizations providing education or education-related information services to website visitors by means of a database or online education platform connected via the Internet or an educational television station through an Internet service provider, or ISP. “Online education schools” refer to education websites providing academic education services or training services with the issuance of various certificates.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Setting up education websites and online education schools is subject to approval from relevant education authorities, depending on the specific types of education. Any education website and online education school shall, upon the receipt of approval, indicate on its website such approval information as well as the approval date and file number.</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According to the Administrative License Law promulgated by the Standing Committee of the National People’s Congress, or NPC, on August 27, 2003 and effective as of July 1, 2004, only laws promulgated by the NPC and regulations and decisions promulgated by the State Council may set down administrative license. On June 29, 2004, the State Council promulgated the Decision on Setting Down Administrative Licenses for the Administrative Examination and Approval Items Really Necessary to be Retained, in which the administrative license for “online education schools” was retained, while the administrative license for “educational websites” was not retained.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Publishing and Distribution of Publications</w:t>
      </w:r>
    </w:p>
    <w:p>
      <w:pPr>
        <w:spacing w:after="0" w:line="16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December 25, 2001, the State Council promulgated the Administrative Regulations on Publication, or the Publication Regulations, which became effective on February 1, 2002. The Publication Regulations apply to publication activities, i.e., the publishing, printing, copying, importation or distribution of publications, including books, newspapers, periodicals, audio and video products and electronic publications, each of which requires approval from the relevant publication administrative authorities.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13, 2005, the State Council announced a policy on private investments in China that relate to cultural matters, which affects private investments in businesses that involve publishing. The policy authorizes the Ministry of Culture and several other central government authorities to adopt detailed rules to implement the policy. In July 2005, the Ministry of Culture, together with other central government authorities, issued a regulation that prohibits private and foreign investors from engaging in the publishing business. Our subsidiaries and affiliated entities are not permitted to engage in the publishing business under this regulation. Beijing New Oriental Dogwood Cultural Communications Co., Ltd, a subsidiary of New Oriental China, has been cooperating with qualified PRC publishing companies to publish our self-developed teaching materials and other content.</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Subsequent to the implementation of the Publication Regulations, the GAPP issued the Administrative Regulations on Publications Market which became effective on September 1, 2003 and which were amended on June 16, 2004. According to the Administrative Regulations on Publications Market, any organization or individual engaged in general distribution, whole sale or retail of publications shall obtain a Permit for Operating Publications. Distribution of publications in the PRC is regulated on different administrative levels. An entity engaged in general distribution of publications shall obtain such permit from the GAPP and may conduct general distribution of the publications in the PRC; an entity engaged in wholesaling of publications shall obtain such permit from the provincial counterpart of GAPP and may not engage in general distribution in the PRC; and an entity engaged in retail distribution of publications shall obtain such permit from the local counterpart of GAPP at the county level and may not conduct general distribution or wholesaling of publications in the PRC.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 addition, pursuant to the Administrative Regulations on Publishing Audio-video Products promulgated by the State Council on December 25, 2001, which became effective as of February 1, 2002, any entity engaged in the wholesale or retail distribution of audio-video products shall secure a Permit for Operating Audio-video Products from the relevant culture authorities.</w:t>
      </w:r>
    </w:p>
    <w:p>
      <w:pPr>
        <w:spacing w:after="0" w:line="127"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subsidiaries of New Oriental China engaged in the wholesale and retail distribution of books, periodicals, audio-visual products and electronic publications have obtained the relevant Permits for Operating Publications and the relevant Permits for Operating Audio-video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Online Publications</w:t>
      </w:r>
    </w:p>
    <w:p>
      <w:pPr>
        <w:spacing w:after="0" w:line="16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GAPP and MII jointly promulgated the Tentative Internet Publishing Administrative Measures, or the Internet Publishing Measures, which took effect on August 1, 2002. The Internet Publishing Measures require Internet publishers to obtain approval from GAPP. The term “Internet publishing” is defined as an act of online dissemination whereby Internet information service providers select, edit and process works created by themselves or others (including content from books, newspapers, periodicals, audio and video products, electronic publications, and other sources that have already been formally published or works that have been made public in other media) and subsequently post the same on the Internet or transmit the same to users via the Internet for browsing, use or downloading by the public.</w:t>
      </w:r>
    </w:p>
    <w:p>
      <w:pPr>
        <w:spacing w:after="0" w:line="13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Xuncheng Network, a subsidiary of New Oriental China engaging in online publications, is in the process of obtaining the approval from GAPP on the online publication.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Consulting Services for Overseas Studies or Private Matters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Ministry of Public Security and the SAIC jointly issued the Administrative Measures on Intermediate Activities relating to Entry and Exit for Private Purpose on June 6, 2001, which requires that any entity engaged in intermediate and consulting services for Chinese citizens going abroad to visit families, relatives or friends, to reside abroad, to inherit properties, or to conduct other non-business matters other than studying, working or touring, shall obtain a license granted by the relevant provincial authority on public security. Regarding intermediate and consulting business activities relating to self-funded overseas studying, the MOE, the Ministry of Public Security and the SAIC jointly issued the Administrative Regulations on Intermediate Services for Overseas Studies with Private Funds and their Implementing Rules in 1999, which require that any intermediate service organization engaged in such services procure from the MOE the Recognition on the Intermediate Service Organization for Self-funded Overseas Studies.</w:t>
      </w:r>
    </w:p>
    <w:p>
      <w:pPr>
        <w:spacing w:after="0" w:line="105"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Beijing New Oriental Vision Overseas Consulting Co., Ltd, a subsidiary of New Oriental China engaging in overseas studies consulting and other consulting services, has obtained the relevant licenses from the MOE and the Beijing Municipal Public Security Bureau.</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Information Services</w:t>
      </w:r>
    </w:p>
    <w:p>
      <w:pPr>
        <w:spacing w:after="0" w:line="164"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Subsequent to the State Council’s promulgation of the Telecom Regulations and the Internet Information Services Administrative Measures on September 25, 2000, or the Internet Information Measures, the MII and other regulatory authorities formulated and implemented a number of Internet-related regulations, including but not limited to the Internet Electronic Bulletin Board Service Administrative Measures, or the BBS Measures.</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Internet Information Measures require that commercial Internet content providers, or ICP providers, obtain a license for Internet information services, or ICP license, from the appropriate telecommunications authorities in order to carry on any commercial Internet information services in the PRC. ICP providers shall display their ICP license number in a conspicuous location on their home page. In addition, the Internet Information Measures also provide that ICP providers that operate in sensitive and strategic sectors, including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news, publishing, education, health care, medicine and medical devices, must obtain additional approvals from the relevant authorities in charge of those sectors as well. The BBS Measures provide that any ICP provider engaged in providing online bulletin board services, or BBS, is subject to a special approval and filing process with the relevant telecommunications industry authorities.</w:t>
      </w:r>
    </w:p>
    <w:p>
      <w:pPr>
        <w:spacing w:after="0" w:line="1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July 2006, the MII posted a notice on its website entitled “Notice on Strengthening Management of Foreign Investment in Operating Value-Added Telecom Services.” The notice prohibits PRC Internet content providers from leasing, transferring or selling their ICP licenses or providing facilities or other resources to any illegal foreign investors. The notice states that PRC Internet content providers should directly own the trademarks and domain names for websites operated by them, as well as servers and other infrastructure used to support these websites. The notice also states that PRC Internet content providers have until November 1, 2006 to evaluate their compliance with the notice and correct any non-compliance. A PRC Internet content provider’s failure to do so by November 1, 2006 may result in revocation of its ICP license.</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Beijing New Oriental Xuncheng Network Technology Co., Ltd., a subsidiary of New Oriental China engaging in providing online education services, has duly obtained the ICP license.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Culture Activities</w:t>
      </w:r>
    </w:p>
    <w:p>
      <w:pPr>
        <w:spacing w:after="0" w:line="16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Ministry of Culture of the PRC promulgated the Internet Culture Administration Tentative Measures, or the Internet Culture Measures, on May 10, 2003, which became effective on July 1, 2003, and which were amended on July 1, 2004. The Internet Culture Measures require ICP operators engaging in Internet culture activities to obtain an Internet culture business operations license from the Ministry of Culture in accordance with the Internet Culture Measures. The term “Internet culture activities” includes, among other things, acts of online dissemination of Internet cultural products, such as audio-visual products, games, performances of plays or programs, works of art and cartoons, and the production, reproduction, importation, sale (wholesale or retail), leasing and broadcasting of Internet cultural products.</w:t>
      </w:r>
    </w:p>
    <w:p>
      <w:pPr>
        <w:spacing w:after="0" w:line="13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Beijing New Oriental Xuncheng Network Technology Co., Ltd., a subsidiary of New Oriental China engaging in dissemination of audio-visual products through the Internet, is in the process of obtaining the Internet culture business operations license.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on Broadcasting Audio-Video Programs through the Internet or Other Information Network</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State Administration of Radio, Film and Television, or SARFT, promulgated the Rules for Administration of Broadcasting of Audio-Video Programs through the Internet and Other Information Networks, or the Broadcasting Rules, in 2004, which became effective on October 11, 2004. The Broadcasting Rules apply to the activities of broadcasting, integration, transmission, downloading of audio-video programs with computers, televisions or mobile phones as the main terminals and through various types of information networks. Pursuant to the Broadcasting Rules, a Permit for Broadcasting Audio-video Programs via Information Network is required to engage in these Internet broadcasting activities. On April 13, 2005, the State Council announced a policy on private investments in businesses in China that relate to cultural matters, which prohibits private investments in businesses relating to the dissemination of audio-video programs through information networks. As these regulations are relatively new, there are significant uncertainties relating to their interpretation and implementation, including the definition of “audio-video programs” as specified in these regulations. We cannot assure you that Xuncheng Network, our affiliated entity engaging in online education services, will not be determined to require a Permit for Broadcasting Audio-video Programs, which it currently does not possess.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Protection of the Right of Dissemination through Information Networks</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May 18, 2006, the State Council promulgated the Regulations on Protection of the Right of Dissemination through Information Networks, which became effective on July 1, 2006. The new regulations require that every organization or individual who disseminates a third party’s work, performance, audio or visual recording products to the public through information networks shall obtain permission from, and pay compensation to, the legitimate copyright owner of such products, unless otherwise provided under relevant laws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 regulations. The legitimate copyright owner may take technical measures to protect his or her right of dissemination through information networks and any organization or individual shall not intentionally avoid, destroy or otherwise assist others in avoiding such protective measures unless permissible under law. The new regulations also provide that permission from and compensation for the copyright owner are not required in the event of limited dissemination to teaching or research staff for the purpose of school teaching or scientific research only.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Copyright and Trademark Protection</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China has adopted legislation governing intellectual property rights, including copyrights and trademarks. China is a signatory to the main international conventions on intellectual property rights and became a member of the Agreement on Trade Related Aspects of Intellectual Property Rights upon its accession to the World Trade Organization in December 2001.</w:t>
      </w:r>
    </w:p>
    <w:p>
      <w:pPr>
        <w:spacing w:after="0" w:line="127"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i w:val="1"/>
          <w:iCs w:val="1"/>
          <w:color w:val="auto"/>
        </w:rPr>
        <w:t xml:space="preserve">Copyright. </w:t>
      </w:r>
      <w:r>
        <w:rPr>
          <w:rFonts w:ascii="Arial" w:cs="Arial" w:eastAsia="Arial" w:hAnsi="Arial"/>
          <w:sz w:val="16"/>
          <w:szCs w:val="16"/>
          <w:color w:val="auto"/>
        </w:rPr>
        <w:t>The National People’s Congress amended the Copyright Law in 2001 to widen the scope of works and rights that are eligible for copyright</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The amended Copyright Law extends copyright protection to Internet activities, products disseminated over the Internet and software products. In addition, there is a voluntary registration system administered by the China Copyright Protection Center.</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address the problem of copyright infringement related to the content posted or transmitted over the Internet, the National Copyright Administration and MII jointly promulgated the Administrative Measures for Copyright Protection Related to the Internet on April 30, 2005. These measures became effective on May 30, 2005.</w:t>
      </w:r>
    </w:p>
    <w:p>
      <w:pPr>
        <w:spacing w:after="0" w:line="127"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i w:val="1"/>
          <w:iCs w:val="1"/>
          <w:color w:val="auto"/>
        </w:rPr>
        <w:t xml:space="preserve">Trademark. </w:t>
      </w:r>
      <w:r>
        <w:rPr>
          <w:rFonts w:ascii="Arial" w:cs="Arial" w:eastAsia="Arial" w:hAnsi="Arial"/>
          <w:sz w:val="15"/>
          <w:szCs w:val="15"/>
          <w:color w:val="auto"/>
        </w:rPr>
        <w:t>The PRC Trademark Law, adopted in 1982 and revised in 2001, protects the proprietary rights to registered trademarks. The Trademark Office</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SAIC handles trademark registrations and grants a term of ten years to registered trademarks and another ten years to trademarks as requested upon</w:t>
      </w:r>
    </w:p>
    <w:p>
      <w:pPr>
        <w:spacing w:after="0"/>
        <w:rPr>
          <w:sz w:val="20"/>
          <w:szCs w:val="20"/>
          <w:color w:val="auto"/>
        </w:rPr>
      </w:pPr>
      <w:r>
        <w:rPr>
          <w:rFonts w:ascii="Arial" w:cs="Arial" w:eastAsia="Arial" w:hAnsi="Arial"/>
          <w:sz w:val="16"/>
          <w:szCs w:val="16"/>
          <w:color w:val="auto"/>
        </w:rPr>
        <w:t xml:space="preserve">expiry of the prior term. Trademark license agreements must be filed with the Trademark Office for record. We have registered “ </w:t>
      </w:r>
      <w:r>
        <w:rPr>
          <w:sz w:val="1"/>
          <w:szCs w:val="1"/>
          <w:color w:val="auto"/>
        </w:rPr>
        <w:drawing>
          <wp:inline distT="0" distB="0" distL="0" distR="0">
            <wp:extent cx="506095" cy="9461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6095" cy="94615"/>
                    </a:xfrm>
                    <a:prstGeom prst="rect">
                      <a:avLst/>
                    </a:prstGeom>
                    <a:noFill/>
                    <a:ln>
                      <a:noFill/>
                    </a:ln>
                  </pic:spPr>
                </pic:pic>
              </a:graphicData>
            </a:graphic>
          </wp:inline>
        </w:drawing>
      </w:r>
      <w:r>
        <w:rPr>
          <w:rFonts w:ascii="Arial" w:cs="Arial" w:eastAsia="Arial" w:hAnsi="Arial"/>
          <w:sz w:val="16"/>
          <w:szCs w:val="16"/>
          <w:color w:val="auto"/>
        </w:rPr>
        <w:t>,” the logo of “New</w:t>
      </w:r>
    </w:p>
    <w:p>
      <w:pPr>
        <w:spacing w:after="0" w:line="3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Oriental” and the combination of </w:t>
      </w:r>
      <w:r>
        <w:rPr>
          <w:sz w:val="1"/>
          <w:szCs w:val="1"/>
          <w:color w:val="auto"/>
        </w:rPr>
        <w:drawing>
          <wp:inline distT="0" distB="0" distL="0" distR="0">
            <wp:extent cx="420370" cy="9461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0370" cy="94615"/>
                    </a:xfrm>
                    <a:prstGeom prst="rect">
                      <a:avLst/>
                    </a:prstGeom>
                    <a:noFill/>
                    <a:ln>
                      <a:noFill/>
                    </a:ln>
                  </pic:spPr>
                </pic:pic>
              </a:graphicData>
            </a:graphic>
          </wp:inline>
        </w:drawing>
      </w:r>
      <w:r>
        <w:rPr>
          <w:rFonts w:ascii="Arial" w:cs="Arial" w:eastAsia="Arial" w:hAnsi="Arial"/>
          <w:sz w:val="16"/>
          <w:szCs w:val="16"/>
          <w:color w:val="auto"/>
        </w:rPr>
        <w:t xml:space="preserve"> and its logo with the Trademark Office and are in the process of registering additional marks, including the logo for “Pop Kids.” In addition, if a registered trademark is recognized as a well-known trademark in a specific case, the proprietary right of the trademark holder may be extended beyond the registered sphere of products and services of the trademark in such case. Our trademarks have been recognized as well-known trademarks in a civil action adjudicated by the Intermediate People’s Court of Jilin City, Jilin Province.</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November 5, 2004, the MII amended the Measures for Administration of Domain Names for the Chinese Internet, or the Domain Name Measures. The Domain Name Measures regulate the registration of domain names, such as the first tier domain name “.cn.” In February 2006, China Internet Network Information Center, or CNNIC, issued the Implementing Rules for Domain Name Registration and the Measures on Domain Name Disputes Resolution, pursuant to which CNNIC can authorize a domain name dispute resolution institution to decide disputes. We have registered many domain names with CNNIC.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the Foreign Currency Administration Rules promulgated in 1996 and amended in 1997 and various regulations issued by State Administration of Foreign Exchange, or SAFE, and other relevant PRC government authorities, RMB is freely convertible only to the extent of current account items, such as trade-related receipts and payments, interest and dividend. Capital account items, such as direct equity investments, loans and repatriation of investment, require the prior approval from SAFE or its local counterpart for conversion of RMB into a foreign currency, such as U.S. dollars, and remittance of the foreign currency outside the PRC.</w:t>
      </w:r>
    </w:p>
    <w:p>
      <w:pPr>
        <w:spacing w:after="0" w:line="129"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Payments for transactions that take place within the PRC must be made in RMB. Unless otherwise approved, PRC companies must repatriate foreign currency payments received from abroad. Foreign-invested enterprises may retain foreign exchange in accounts with designated foreign exchange banks subject to a cap set by SAFE or its local counterpart. Unless otherwise approved, domestic enterprises must convert all of their foreign currency receipts into RMB.</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Registration of Offshore Investment by PRC Residents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Pursuant to the SAFE’s Notice on Relevant Issues Concerning Foreign Exchange Administration for PRC Residents to Engage in Financing and Inbound Investment via Overseas Special Purpose Vehicles, or SAFE Circular No. 75, issued on October 21, 2005, (i) a PRC citizen residing in the PRC, or PRC Resident, shall register with the local branch of SAFE before it establishes or controls an overseas special purpose vehicle, or SPV, for the purpose of overseas equity financing (including convertible debts financing); (ii) when a PRC Resident contributes the assets of or its equity interests in a domestic enterprise into an SPV, or engages in overseas financing after contributing assets or equity interests into an SPV, such PRC Resident shall register his or her interest in the SPV and the change thereof with the local branch of SAFE; and (iii) when the SPV undergoes a material event outside of China, such as change in share capital or merger and acquisition, the PRC resident shall, within 30 days from the occurrence of such event, register such change with the local branch of SAFE. PRC residents who are shareholders of SPVs established before November 1, 2005 were required to register with the local SAFE branch before March 31, 2006.</w:t>
      </w:r>
    </w:p>
    <w:p>
      <w:pPr>
        <w:spacing w:after="0" w:line="10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Under SAFE Circular No. 75, failure to comply with the registration procedures set forth above may result in the penalties, including imposition of restrictions on a PRC subsidiary’s foreign exchange activities and its ability to distribute dividends to the SPV.</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beneficial owners who are PRC residents have registered with the local branch of SAFE as required under SAFE Circular No. 75.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principal regulations governing dividend distributions by wholly foreign-owned enterprises and Sino-foreign equity joint ventures include:</w:t>
      </w:r>
    </w:p>
    <w:p>
      <w:pPr>
        <w:spacing w:after="0" w:line="181"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Wholly Foreign-Owned Enterprise Law (1986), as amended;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Wholly Foreign-Owned Enterprise Law Implementing Rules (1990), as amended;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Sino-foreign Equity Joint Venture Enterprise Law (1979), as amended;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Sino-foreign Equity Joint Venture Enterprise Law Implementing Rules (1983), as amended.</w:t>
      </w:r>
    </w:p>
    <w:p>
      <w:pPr>
        <w:spacing w:after="0" w:line="185"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Under these regulations, wholly foreign-owned enterprises and Sino-foreign equity joint ventures in the PRC may pay dividends only out of their accumulated profits, if any, determined in accordance with PRC accounting standards and regulations. Additionally, these foreign-invested enterprises are required to set aside certain amounts of their accumulated profits each year, if any, to fund certain reserve funds. These reserves are not distributable as cash dividends.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Regarding Mergers and Acquisitions of Domestic Enterprises by Foreign Investors</w:t>
      </w:r>
    </w:p>
    <w:p>
      <w:pPr>
        <w:spacing w:after="0" w:line="83"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On August 8, 2006, six PRC regulatory agencies, including the Chinese Securities Regulatory Commission, or CSRC, promulgated a rule entitled “Provisions regarding Mergers and Acquisitions of Domestic Enterprises by Foreign Investors,” or the new M&amp;A rule, to more effectively regulate foreign investment in PRC domestic enterprises. The new M&amp;A rule provides that the Ministry of Commerce must be notified in advance of any change-of-control transaction in which a foreign investor takes control of a PRC domestic enterprise and any of the following situations exists: (i) the transaction involves an important industry in China, (ii) the transaction may affect national “economic security,” or (iii) the PRC domestic enterprise has a well-known trademark or historical Chinese trade name in China. The new M&amp;A rule also contains a provision requiring offshore special purpose vehicles, or SPVs, formed for listing purposes through acquisitions of PRC domestic companies and controlled by PRC individuals to obtain the approval of the CSRC prior to publicly listing their securities on an overseas stock exchange.</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new M&amp;A rule will become effective on September 8, 2006 without retroactive effect . Based on the advice of Tian Yuan Law Firm, our PRC counsel, we do not believe that CSRC approval is required for our proposed listing on the New York Stock Exchange if trading of our ADSs commences prior to the effective date of the new M&amp;A rule.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August 31, 2006.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40" w:type="dxa"/>
            <w:vAlign w:val="bottom"/>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212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Position/Title</w:t>
            </w:r>
          </w:p>
        </w:tc>
      </w:tr>
      <w:tr>
        <w:trPr>
          <w:trHeight w:val="95"/>
        </w:trPr>
        <w:tc>
          <w:tcPr>
            <w:tcW w:w="244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r>
      <w:tr>
        <w:trPr>
          <w:trHeight w:val="383"/>
        </w:trPr>
        <w:tc>
          <w:tcPr>
            <w:tcW w:w="2440" w:type="dxa"/>
            <w:vAlign w:val="bottom"/>
          </w:tcPr>
          <w:p>
            <w:pPr>
              <w:spacing w:after="0"/>
              <w:rPr>
                <w:sz w:val="20"/>
                <w:szCs w:val="20"/>
                <w:color w:val="auto"/>
              </w:rPr>
            </w:pPr>
            <w:r>
              <w:rPr>
                <w:rFonts w:ascii="Arial" w:cs="Arial" w:eastAsia="Arial" w:hAnsi="Arial"/>
                <w:sz w:val="18"/>
                <w:szCs w:val="18"/>
                <w:color w:val="auto"/>
              </w:rPr>
              <w:t>Michael Minhong Yu</w:t>
            </w:r>
          </w:p>
        </w:tc>
        <w:tc>
          <w:tcPr>
            <w:tcW w:w="2600" w:type="dxa"/>
            <w:vAlign w:val="bottom"/>
            <w:gridSpan w:val="3"/>
          </w:tcPr>
          <w:p>
            <w:pPr>
              <w:jc w:val="right"/>
              <w:ind w:right="220"/>
              <w:spacing w:after="0"/>
              <w:rPr>
                <w:sz w:val="20"/>
                <w:szCs w:val="20"/>
                <w:color w:val="auto"/>
              </w:rPr>
            </w:pPr>
            <w:r>
              <w:rPr>
                <w:rFonts w:ascii="Arial" w:cs="Arial" w:eastAsia="Arial" w:hAnsi="Arial"/>
                <w:sz w:val="18"/>
                <w:szCs w:val="18"/>
                <w:color w:val="auto"/>
              </w:rPr>
              <w:t>44</w:t>
            </w:r>
          </w:p>
        </w:tc>
        <w:tc>
          <w:tcPr>
            <w:tcW w:w="2700" w:type="dxa"/>
            <w:vAlign w:val="bottom"/>
            <w:gridSpan w:val="2"/>
          </w:tcPr>
          <w:p>
            <w:pPr>
              <w:spacing w:after="0"/>
              <w:rPr>
                <w:sz w:val="20"/>
                <w:szCs w:val="20"/>
                <w:color w:val="auto"/>
              </w:rPr>
            </w:pPr>
            <w:r>
              <w:rPr>
                <w:rFonts w:ascii="Arial" w:cs="Arial" w:eastAsia="Arial" w:hAnsi="Arial"/>
                <w:sz w:val="18"/>
                <w:szCs w:val="18"/>
                <w:color w:val="auto"/>
                <w:w w:val="88"/>
              </w:rPr>
              <w:t>Chairman and Chief Executive Officer</w:t>
            </w:r>
          </w:p>
        </w:tc>
      </w:tr>
      <w:tr>
        <w:trPr>
          <w:trHeight w:val="284"/>
        </w:trPr>
        <w:tc>
          <w:tcPr>
            <w:tcW w:w="2440" w:type="dxa"/>
            <w:vAlign w:val="bottom"/>
          </w:tcPr>
          <w:p>
            <w:pPr>
              <w:spacing w:after="0"/>
              <w:rPr>
                <w:sz w:val="20"/>
                <w:szCs w:val="20"/>
                <w:color w:val="auto"/>
              </w:rPr>
            </w:pPr>
            <w:r>
              <w:rPr>
                <w:rFonts w:ascii="Arial" w:cs="Arial" w:eastAsia="Arial" w:hAnsi="Arial"/>
                <w:sz w:val="18"/>
                <w:szCs w:val="18"/>
                <w:color w:val="auto"/>
              </w:rPr>
              <w:t>Louis T. Hsieh</w:t>
            </w:r>
          </w:p>
        </w:tc>
        <w:tc>
          <w:tcPr>
            <w:tcW w:w="260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27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84"/>
        </w:trPr>
        <w:tc>
          <w:tcPr>
            <w:tcW w:w="2440" w:type="dxa"/>
            <w:vAlign w:val="bottom"/>
          </w:tcPr>
          <w:p>
            <w:pPr>
              <w:spacing w:after="0"/>
              <w:rPr>
                <w:sz w:val="20"/>
                <w:szCs w:val="20"/>
                <w:color w:val="auto"/>
              </w:rPr>
            </w:pPr>
            <w:r>
              <w:rPr>
                <w:rFonts w:ascii="Arial" w:cs="Arial" w:eastAsia="Arial" w:hAnsi="Arial"/>
                <w:sz w:val="18"/>
                <w:szCs w:val="18"/>
                <w:color w:val="auto"/>
              </w:rPr>
              <w:t>Chenggang Zhou</w:t>
            </w:r>
          </w:p>
        </w:tc>
        <w:tc>
          <w:tcPr>
            <w:tcW w:w="2600" w:type="dxa"/>
            <w:vAlign w:val="bottom"/>
            <w:gridSpan w:val="3"/>
          </w:tcPr>
          <w:p>
            <w:pPr>
              <w:jc w:val="right"/>
              <w:ind w:right="220"/>
              <w:spacing w:after="0"/>
              <w:rPr>
                <w:sz w:val="20"/>
                <w:szCs w:val="20"/>
                <w:color w:val="auto"/>
              </w:rPr>
            </w:pPr>
            <w:r>
              <w:rPr>
                <w:rFonts w:ascii="Arial" w:cs="Arial" w:eastAsia="Arial" w:hAnsi="Arial"/>
                <w:sz w:val="18"/>
                <w:szCs w:val="18"/>
                <w:color w:val="auto"/>
              </w:rPr>
              <w:t>44</w:t>
            </w:r>
          </w:p>
        </w:tc>
        <w:tc>
          <w:tcPr>
            <w:tcW w:w="2700" w:type="dxa"/>
            <w:vAlign w:val="bottom"/>
            <w:gridSpan w:val="2"/>
          </w:tcPr>
          <w:p>
            <w:pPr>
              <w:spacing w:after="0"/>
              <w:rPr>
                <w:sz w:val="20"/>
                <w:szCs w:val="20"/>
                <w:color w:val="auto"/>
              </w:rPr>
            </w:pPr>
            <w:r>
              <w:rPr>
                <w:rFonts w:ascii="Arial" w:cs="Arial" w:eastAsia="Arial" w:hAnsi="Arial"/>
                <w:sz w:val="18"/>
                <w:szCs w:val="18"/>
                <w:color w:val="auto"/>
                <w:w w:val="97"/>
              </w:rPr>
              <w:t>Director and Senior Vice President</w:t>
            </w:r>
          </w:p>
        </w:tc>
      </w:tr>
      <w:tr>
        <w:trPr>
          <w:trHeight w:val="284"/>
        </w:trPr>
        <w:tc>
          <w:tcPr>
            <w:tcW w:w="2440" w:type="dxa"/>
            <w:vAlign w:val="bottom"/>
          </w:tcPr>
          <w:p>
            <w:pPr>
              <w:spacing w:after="0"/>
              <w:rPr>
                <w:sz w:val="20"/>
                <w:szCs w:val="20"/>
                <w:color w:val="auto"/>
              </w:rPr>
            </w:pPr>
            <w:r>
              <w:rPr>
                <w:rFonts w:ascii="Arial" w:cs="Arial" w:eastAsia="Arial" w:hAnsi="Arial"/>
                <w:sz w:val="18"/>
                <w:szCs w:val="18"/>
                <w:color w:val="auto"/>
              </w:rPr>
              <w:t>Xiangdong Chen</w:t>
            </w:r>
          </w:p>
        </w:tc>
        <w:tc>
          <w:tcPr>
            <w:tcW w:w="260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27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84"/>
        </w:trPr>
        <w:tc>
          <w:tcPr>
            <w:tcW w:w="2440" w:type="dxa"/>
            <w:vAlign w:val="bottom"/>
          </w:tcPr>
          <w:p>
            <w:pPr>
              <w:spacing w:after="0"/>
              <w:rPr>
                <w:sz w:val="20"/>
                <w:szCs w:val="20"/>
                <w:color w:val="auto"/>
              </w:rPr>
            </w:pPr>
            <w:r>
              <w:rPr>
                <w:rFonts w:ascii="Arial" w:cs="Arial" w:eastAsia="Arial" w:hAnsi="Arial"/>
                <w:sz w:val="18"/>
                <w:szCs w:val="18"/>
                <w:color w:val="auto"/>
              </w:rPr>
              <w:t>Xiaohong Chen</w:t>
            </w:r>
          </w:p>
        </w:tc>
        <w:tc>
          <w:tcPr>
            <w:tcW w:w="2600" w:type="dxa"/>
            <w:vAlign w:val="bottom"/>
            <w:gridSpan w:val="3"/>
          </w:tcPr>
          <w:p>
            <w:pPr>
              <w:jc w:val="right"/>
              <w:ind w:right="220"/>
              <w:spacing w:after="0"/>
              <w:rPr>
                <w:sz w:val="20"/>
                <w:szCs w:val="20"/>
                <w:color w:val="auto"/>
              </w:rPr>
            </w:pPr>
            <w:r>
              <w:rPr>
                <w:rFonts w:ascii="Arial" w:cs="Arial" w:eastAsia="Arial" w:hAnsi="Arial"/>
                <w:sz w:val="18"/>
                <w:szCs w:val="18"/>
                <w:color w:val="auto"/>
              </w:rPr>
              <w:t>36</w:t>
            </w:r>
          </w:p>
        </w:tc>
        <w:tc>
          <w:tcPr>
            <w:tcW w:w="27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2440" w:type="dxa"/>
            <w:vAlign w:val="bottom"/>
          </w:tcPr>
          <w:p>
            <w:pPr>
              <w:spacing w:after="0"/>
              <w:rPr>
                <w:sz w:val="20"/>
                <w:szCs w:val="20"/>
                <w:color w:val="auto"/>
              </w:rPr>
            </w:pPr>
            <w:r>
              <w:rPr>
                <w:rFonts w:ascii="Arial" w:cs="Arial" w:eastAsia="Arial" w:hAnsi="Arial"/>
                <w:sz w:val="18"/>
                <w:szCs w:val="18"/>
                <w:color w:val="auto"/>
              </w:rPr>
              <w:t>Robin Yanhong Li</w:t>
            </w:r>
          </w:p>
        </w:tc>
        <w:tc>
          <w:tcPr>
            <w:tcW w:w="2600" w:type="dxa"/>
            <w:vAlign w:val="bottom"/>
            <w:gridSpan w:val="3"/>
          </w:tcPr>
          <w:p>
            <w:pPr>
              <w:jc w:val="right"/>
              <w:ind w:right="220"/>
              <w:spacing w:after="0"/>
              <w:rPr>
                <w:sz w:val="20"/>
                <w:szCs w:val="20"/>
                <w:color w:val="auto"/>
              </w:rPr>
            </w:pPr>
            <w:r>
              <w:rPr>
                <w:rFonts w:ascii="Arial" w:cs="Arial" w:eastAsia="Arial" w:hAnsi="Arial"/>
                <w:sz w:val="18"/>
                <w:szCs w:val="18"/>
                <w:color w:val="auto"/>
              </w:rPr>
              <w:t>37</w:t>
            </w:r>
          </w:p>
        </w:tc>
        <w:tc>
          <w:tcPr>
            <w:tcW w:w="2700" w:type="dxa"/>
            <w:vAlign w:val="bottom"/>
            <w:gridSpan w:val="2"/>
          </w:tcPr>
          <w:p>
            <w:pPr>
              <w:spacing w:after="0"/>
              <w:rPr>
                <w:sz w:val="20"/>
                <w:szCs w:val="20"/>
                <w:color w:val="auto"/>
              </w:rPr>
            </w:pPr>
            <w:r>
              <w:rPr>
                <w:rFonts w:ascii="Arial" w:cs="Arial" w:eastAsia="Arial" w:hAnsi="Arial"/>
                <w:sz w:val="18"/>
                <w:szCs w:val="18"/>
                <w:color w:val="auto"/>
              </w:rPr>
              <w:t>Independent Director Appointee*</w:t>
            </w:r>
          </w:p>
        </w:tc>
      </w:tr>
      <w:tr>
        <w:trPr>
          <w:trHeight w:val="284"/>
        </w:trPr>
        <w:tc>
          <w:tcPr>
            <w:tcW w:w="2440" w:type="dxa"/>
            <w:vAlign w:val="bottom"/>
          </w:tcPr>
          <w:p>
            <w:pPr>
              <w:spacing w:after="0"/>
              <w:rPr>
                <w:sz w:val="20"/>
                <w:szCs w:val="20"/>
                <w:color w:val="auto"/>
              </w:rPr>
            </w:pPr>
            <w:r>
              <w:rPr>
                <w:rFonts w:ascii="Arial" w:cs="Arial" w:eastAsia="Arial" w:hAnsi="Arial"/>
                <w:sz w:val="18"/>
                <w:szCs w:val="18"/>
                <w:color w:val="auto"/>
              </w:rPr>
              <w:t>Denny Lee</w:t>
            </w:r>
          </w:p>
        </w:tc>
        <w:tc>
          <w:tcPr>
            <w:tcW w:w="2600" w:type="dxa"/>
            <w:vAlign w:val="bottom"/>
            <w:gridSpan w:val="3"/>
          </w:tcPr>
          <w:p>
            <w:pPr>
              <w:jc w:val="right"/>
              <w:ind w:right="220"/>
              <w:spacing w:after="0"/>
              <w:rPr>
                <w:sz w:val="20"/>
                <w:szCs w:val="20"/>
                <w:color w:val="auto"/>
              </w:rPr>
            </w:pPr>
            <w:r>
              <w:rPr>
                <w:rFonts w:ascii="Arial" w:cs="Arial" w:eastAsia="Arial" w:hAnsi="Arial"/>
                <w:sz w:val="18"/>
                <w:szCs w:val="18"/>
                <w:color w:val="auto"/>
              </w:rPr>
              <w:t>37</w:t>
            </w:r>
          </w:p>
        </w:tc>
        <w:tc>
          <w:tcPr>
            <w:tcW w:w="2700" w:type="dxa"/>
            <w:vAlign w:val="bottom"/>
            <w:gridSpan w:val="2"/>
          </w:tcPr>
          <w:p>
            <w:pPr>
              <w:spacing w:after="0"/>
              <w:rPr>
                <w:sz w:val="20"/>
                <w:szCs w:val="20"/>
                <w:color w:val="auto"/>
              </w:rPr>
            </w:pPr>
            <w:r>
              <w:rPr>
                <w:rFonts w:ascii="Arial" w:cs="Arial" w:eastAsia="Arial" w:hAnsi="Arial"/>
                <w:sz w:val="18"/>
                <w:szCs w:val="18"/>
                <w:color w:val="auto"/>
              </w:rPr>
              <w:t>Independent Director Appointee*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607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3" w:lineRule="exact"/>
        <w:rPr>
          <w:sz w:val="20"/>
          <w:szCs w:val="20"/>
          <w:color w:val="auto"/>
        </w:rPr>
      </w:pPr>
    </w:p>
    <w:p>
      <w:pPr>
        <w:ind w:left="340" w:right="120" w:hanging="332"/>
        <w:spacing w:after="0" w:line="268"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Messrs. Li and Lee have accepted our appointment to be the independent directors of our company, effective upon the SEC’s declaration of effectiveness of our registration statement on Form F-1, of which this prospectus is a part.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Mr. Michael Minhong Yu </w:t>
      </w:r>
      <w:r>
        <w:rPr>
          <w:rFonts w:ascii="Arial" w:cs="Arial" w:eastAsia="Arial" w:hAnsi="Arial"/>
          <w:sz w:val="18"/>
          <w:szCs w:val="18"/>
          <w:color w:val="auto"/>
        </w:rPr>
        <w:t>is the founder of our company and has served as the chairman of our board and our chief executive officer since 2001. He also</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vice chairman of the Beijing Young Entrepreneurs Association and vice chairman of the Committee of Education of the Central Committee of the China Democratic League. Prior to founding our first school in 1993, Mr. Yu was an English instructor at Peking University from 1985 and 1991. Mr. Yu received his bachelor’s degree in English from Peking University.</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Mr. Louis T. Hsieh </w:t>
      </w:r>
      <w:r>
        <w:rPr>
          <w:rFonts w:ascii="Arial" w:cs="Arial" w:eastAsia="Arial" w:hAnsi="Arial"/>
          <w:sz w:val="16"/>
          <w:szCs w:val="16"/>
          <w:color w:val="auto"/>
        </w:rPr>
        <w:t>has served as our chief financial officer since December 2005. Mr. Hsieh was the chief financial officer of ARIO Data Networks, Inc. in</w:t>
      </w:r>
      <w:r>
        <w:rPr>
          <w:rFonts w:ascii="Arial" w:cs="Arial" w:eastAsia="Arial" w:hAnsi="Arial"/>
          <w:sz w:val="16"/>
          <w:szCs w:val="16"/>
          <w:i w:val="1"/>
          <w:iCs w:val="1"/>
          <w:color w:val="auto"/>
        </w:rPr>
        <w:t xml:space="preserve"> </w:t>
      </w:r>
      <w:r>
        <w:rPr>
          <w:rFonts w:ascii="Arial" w:cs="Arial" w:eastAsia="Arial" w:hAnsi="Arial"/>
          <w:sz w:val="16"/>
          <w:szCs w:val="16"/>
          <w:color w:val="auto"/>
        </w:rPr>
        <w:t>San Jose, California from April 2004 until he joined us. Prior to that, Mr. Hsieh was a managing director for the private equity firm of Darby Asia Investors (HK) Limited from 2002 to 2003. From 2000 to 2002, Mr. Hsieh was managing director and Asia-Pacific tech/media/telecoms head of UBS Capital Asia Pacific, the private equity division of UBS AG. From 1997 to 2000 Mr. Hsieh was a technology investment banker at JP Morgan in San Francisco, California, where he was a vice president, and Credit Suisse First Boston in Palo Alto, California, where he was an associate. From 1990 to 1996, Mr. Hsieh was a corporate and securities attorney at White &amp; Case LLP in Los Angeles and is a member of the California bar. Mr. Hsieh holds a B.S. degree in Industrial Engineering and Engineering Management from Stanford University, an MBA degree from the Harvard Business School, and a J.D. degree from the University of California at Berkeley.</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Mr. Chenggang Zhou </w:t>
      </w:r>
      <w:r>
        <w:rPr>
          <w:rFonts w:ascii="Arial" w:cs="Arial" w:eastAsia="Arial" w:hAnsi="Arial"/>
          <w:sz w:val="16"/>
          <w:szCs w:val="16"/>
          <w:color w:val="auto"/>
        </w:rPr>
        <w:t>has served as our senior vice president since January 2006 and as our director since 2004. Mr. Zhou joined us in 2000. From 2000 to</w:t>
      </w:r>
      <w:r>
        <w:rPr>
          <w:rFonts w:ascii="Arial" w:cs="Arial" w:eastAsia="Arial" w:hAnsi="Arial"/>
          <w:sz w:val="16"/>
          <w:szCs w:val="16"/>
          <w:i w:val="1"/>
          <w:iCs w:val="1"/>
          <w:color w:val="auto"/>
        </w:rPr>
        <w:t xml:space="preserve"> </w:t>
      </w:r>
      <w:r>
        <w:rPr>
          <w:rFonts w:ascii="Arial" w:cs="Arial" w:eastAsia="Arial" w:hAnsi="Arial"/>
          <w:sz w:val="16"/>
          <w:szCs w:val="16"/>
          <w:color w:val="auto"/>
        </w:rPr>
        <w:t>2003, he was the president of Shanghai New Oriental School. Mr. Zhou became our vice president in 2003 and has been the president of Beijing New Oriental School since 2003. From 1998 to 2000, Mr. Zhou was a correspondent for the Asia Pacific region and a program host at BBC. Mr. Zhou received his bachelor’s degree in English from Suzhou University in China and his master’s degree in Communications from Macquarie University, Australia.</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Mr. Xiangdong Chen </w:t>
      </w:r>
      <w:r>
        <w:rPr>
          <w:rFonts w:ascii="Arial" w:cs="Arial" w:eastAsia="Arial" w:hAnsi="Arial"/>
          <w:sz w:val="16"/>
          <w:szCs w:val="16"/>
          <w:color w:val="auto"/>
        </w:rPr>
        <w:t>has served as our senior vice president since January 2006. Mr. Chen joined us in 1999. He was promoted to be the executive assistant</w:t>
      </w:r>
      <w:r>
        <w:rPr>
          <w:rFonts w:ascii="Arial" w:cs="Arial" w:eastAsia="Arial" w:hAnsi="Arial"/>
          <w:sz w:val="16"/>
          <w:szCs w:val="16"/>
          <w:i w:val="1"/>
          <w:iCs w:val="1"/>
          <w:color w:val="auto"/>
        </w:rPr>
        <w:t xml:space="preserve"> </w:t>
      </w:r>
      <w:r>
        <w:rPr>
          <w:rFonts w:ascii="Arial" w:cs="Arial" w:eastAsia="Arial" w:hAnsi="Arial"/>
          <w:sz w:val="16"/>
          <w:szCs w:val="16"/>
          <w:color w:val="auto"/>
        </w:rPr>
        <w:t>to our chief executive officer in 2001. From 2002 to September 2003 , he was the president of Wuhan New Oriental School. Mr. Chen became our vice president in September 2003 and has been in charge of a number of departments at our head office, including short-term training system, human resources, marketing and public relationship and business development. Mr. Chen received his master’s degree in Economics and Ph.D. degree in Economics from Renmin University of China. Mr. Chen attended the executive management program at the Harvard Business School in 2005.</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Ms. Xiaohong Chen </w:t>
      </w:r>
      <w:r>
        <w:rPr>
          <w:rFonts w:ascii="Arial" w:cs="Arial" w:eastAsia="Arial" w:hAnsi="Arial"/>
          <w:sz w:val="16"/>
          <w:szCs w:val="16"/>
          <w:color w:val="auto"/>
        </w:rPr>
        <w:t>has served as our director since December 2004. Ms. Chen is a managing director at Tiger Global Private Investment Partners II, L.P.</w:t>
      </w:r>
      <w:r>
        <w:rPr>
          <w:rFonts w:ascii="Arial" w:cs="Arial" w:eastAsia="Arial" w:hAnsi="Arial"/>
          <w:sz w:val="16"/>
          <w:szCs w:val="16"/>
          <w:i w:val="1"/>
          <w:iCs w:val="1"/>
          <w:color w:val="auto"/>
        </w:rPr>
        <w:t xml:space="preserve"> </w:t>
      </w:r>
      <w:r>
        <w:rPr>
          <w:rFonts w:ascii="Arial" w:cs="Arial" w:eastAsia="Arial" w:hAnsi="Arial"/>
          <w:sz w:val="16"/>
          <w:szCs w:val="16"/>
          <w:color w:val="auto"/>
        </w:rPr>
        <w:t>In 2004, Ms. Chen was vice president at Joyo.com Limited. Prior to 2004, she worked at Veronis Suhler Stevenson from 1994 to 2003, and was promoted to be a managing director in 2003. Ms. Chen received her master’s degree from Rutgers University and a bachelor’s degree in History from Peking University.</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Mr. Robin Yanhong Li </w:t>
      </w:r>
      <w:r>
        <w:rPr>
          <w:rFonts w:ascii="Arial" w:cs="Arial" w:eastAsia="Arial" w:hAnsi="Arial"/>
          <w:sz w:val="16"/>
          <w:szCs w:val="16"/>
          <w:color w:val="auto"/>
        </w:rPr>
        <w:t>will serve as our independent director, commencing from the SEC’s declaration of effectiveness of our registration statement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F-1, of which this prospectus is a part. Mr. Li is a co-founder of Baidu.com, Inc., the leading Chinese language Internet search provider listed on the Nasdaq Global Market. Mr. Li has served as the chairman of the board of directors of Baidu.com since its inception in January 2000 and as its chief executive officer since January 2004. He served as the president of Baidu.com from February 2000 to December 2003. Prior to founding Baidu.com, Mr. Li worked as an engineer at Infoseek, a pioneer in the Internet search engine industry, from July 1997 to December 1999. Mr. Li received a bachelor’s degree in Information Science from Peking University and a master’s degree in Computer Science from the State University of New York at Buffalo.</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Mr. Denny Lee </w:t>
      </w:r>
      <w:r>
        <w:rPr>
          <w:rFonts w:ascii="Arial" w:cs="Arial" w:eastAsia="Arial" w:hAnsi="Arial"/>
          <w:sz w:val="16"/>
          <w:szCs w:val="16"/>
          <w:color w:val="auto"/>
        </w:rPr>
        <w:t>will serve as our independent director, commencing from the SEC’s declaration of effectiveness of our registration statement on Form F-1,</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this prospectus is a part. Mr. Lee has served as a director and the chief financial officer of Netease.com, Inc., a leading interactive online and wireless community in China and a major provider of Chinese language content and services listed on the Nasdaq Global Market, since April 2002. Previously, Mr. Lee was the financial controller of Netease.com since November 2001. Prior to joining Netease.com in 2001, Mr. Lee worked in the Hong Kong office of KPMG for more than ten years, culminating in the position of senior manager in one of the audit departments where he specialized in auditing international clients. During his employment with KPMG, he also worked with a number of Chinese companies with respect to accounting and other aspects of their initial public offerings on the Hong Kong Stock Exchange, due diligence work in relation to potential investments in Chinese companies and financial and operational reviews of Chinese companies in connection with proposed investments in such companies by foreign investors. Mr. Lee graduated from the Hong Kong Polytechnic University majoring in Accounting and is a member of The Hong Kong Institute of Certified Public Accountants and The Chartered Association of Certified Accountants.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entered into employment agreements with each of our senior executive officers. Under these agreements, each of our senior executive officers is employed for a specified time period. We may terminate employment for cause, at any time, without notice or remuneration, for certain acts of the employee, such as a conviction or plea of guilty to a felony, negligence or dishonesty to our detriment and failure to perform agreed duties after a reasonable opportunity to cure the failure, death, or physical or mental incapacitation. We may also terminate an executive officer’s employment without cause. In such case we are required to provide severance compensations as expressly required by applicable law. On the other hand, an executive officer may terminate his employment with us at any time with a one-month prior notice if there is a material reduction in his authority, duties and responsibilities or if there is a material reduction in his annual salary before the next annual salary review. An executive officer may also resign prior to the expiry of the term of his or her employment agreement if our board approves his or her resignation or agrees to an alternative arrangement with such executive officer.</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Each senior executive officer has agreed to hold, both during and after the termination or expiry of his or her employment agreement, in strict confidence and not to use, except as required in the performance of his or her duties in connection with the employment, any of our confidential information or trade secrets, any confidential information or trade secretes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and to assign all right, title and interest in them to us, and assist us in obtaining patents,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copyrights and other legal rights for these inventions, designs and trade secrets. In addition, each executive officer has agreed to be bound by non-competition and non-solicitation restrictions during the term of his or her employment and one year following the termination or expiry of such employment agreement. Specifically, each executive officer has agreed not to (i) approach our clients, customers or contacts or other persons or entities introduced to the executive officer for the purpose of doing business with such person or entities that will harm our business relationships with these persons or entities; (ii) assume employment with or provide services as a director for any of our competitors, or engage, whether as principal, partner, licensor or otherwise, in any business which is in direct or indirect competition with our business; or (iii) seek directly or indirectly, to solicit the services of any of our employees who is employed by us on or after the date of the executive officer’s termination, or in the year preceding such termination.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of directors currently consists of three directors. A director is not required to hold any shares in the company by way of qualification. A director may vote with respect to any contract, proposed contract or arrangement in which he is materially interested. A director may exercise all the powers of the company to borrow money, mortgage its undertaking, property and uncalled capital, and issue debentures or other securities whenever money is borrowed or as security for any obligation of the company or of any third party.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established three committees under the board of directors: the audit committee, the compensation committee and the nominating and corporate governance committee. We have adopted a charter for each of the three committees, which will become effective upon the completion of this offering. Each committee’s members and functions are described below.</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will consist of Ms. Xiaohong Chen, Mr. Robin Yanhong Li and Mr. Denny Lee, commencing from the SEC’s</w:t>
      </w:r>
      <w:r>
        <w:rPr>
          <w:rFonts w:ascii="Arial" w:cs="Arial" w:eastAsia="Arial" w:hAnsi="Arial"/>
          <w:sz w:val="18"/>
          <w:szCs w:val="18"/>
          <w:i w:val="1"/>
          <w:iCs w:val="1"/>
          <w:color w:val="auto"/>
        </w:rPr>
        <w:t xml:space="preserve"> </w:t>
      </w:r>
      <w:r>
        <w:rPr>
          <w:rFonts w:ascii="Arial" w:cs="Arial" w:eastAsia="Arial" w:hAnsi="Arial"/>
          <w:sz w:val="18"/>
          <w:szCs w:val="18"/>
          <w:color w:val="auto"/>
        </w:rPr>
        <w:t>declaration of effectiveness of our registration statement on Form F-1, of which this prospectus is a part. Messrs. Li and Lee satisfy the “independence” requirements of Section 303A of the Corporate Governance Rules of the New York Stock Exchange and Rule 10A-3 under the Securities Exchange Act of 1934, as amended. The audit committee will oversee our accounting and financial reporting processes and the audits of the financial statements of our company. The audit committee will be responsible for, among other things:</w:t>
      </w:r>
    </w:p>
    <w:p>
      <w:pPr>
        <w:spacing w:after="0" w:line="129" w:lineRule="exact"/>
        <w:rPr>
          <w:sz w:val="20"/>
          <w:szCs w:val="20"/>
          <w:color w:val="auto"/>
        </w:rPr>
      </w:pPr>
    </w:p>
    <w:p>
      <w:pPr>
        <w:ind w:left="780" w:hanging="326"/>
        <w:spacing w:after="0"/>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selecting the independent auditors and pre-approving all auditing and non-auditing services permitted to be performed by the independent auditors;</w:t>
      </w:r>
    </w:p>
    <w:p>
      <w:pPr>
        <w:spacing w:after="0" w:line="207" w:lineRule="exact"/>
        <w:rPr>
          <w:rFonts w:ascii="Arial" w:cs="Arial" w:eastAsia="Arial" w:hAnsi="Arial"/>
          <w:sz w:val="16"/>
          <w:szCs w:val="16"/>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auditors;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 and</w:t>
      </w:r>
    </w:p>
    <w:p>
      <w:pPr>
        <w:spacing w:after="0" w:line="207" w:lineRule="exact"/>
        <w:rPr>
          <w:rFonts w:ascii="Arial" w:cs="Arial" w:eastAsia="Arial" w:hAnsi="Arial"/>
          <w:sz w:val="16"/>
          <w:szCs w:val="16"/>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auditors.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i w:val="1"/>
          <w:iCs w:val="1"/>
          <w:color w:val="auto"/>
        </w:rPr>
        <w:t xml:space="preserve">Compensation Committee. </w:t>
      </w:r>
      <w:r>
        <w:rPr>
          <w:rFonts w:ascii="Arial" w:cs="Arial" w:eastAsia="Arial" w:hAnsi="Arial"/>
          <w:sz w:val="15"/>
          <w:szCs w:val="15"/>
          <w:color w:val="auto"/>
        </w:rPr>
        <w:t>Our compensation committee will consist of Ms. Xiaohong Chen, Mr. Robin Yanhong Li and Mr. Denny Lee, commencing from</w:t>
      </w:r>
      <w:r>
        <w:rPr>
          <w:rFonts w:ascii="Arial" w:cs="Arial" w:eastAsia="Arial" w:hAnsi="Arial"/>
          <w:sz w:val="15"/>
          <w:szCs w:val="15"/>
          <w:i w:val="1"/>
          <w:iCs w:val="1"/>
          <w:color w:val="auto"/>
        </w:rPr>
        <w:t xml:space="preserve"> </w:t>
      </w:r>
      <w:r>
        <w:rPr>
          <w:rFonts w:ascii="Arial" w:cs="Arial" w:eastAsia="Arial" w:hAnsi="Arial"/>
          <w:sz w:val="15"/>
          <w:szCs w:val="15"/>
          <w:color w:val="auto"/>
        </w:rPr>
        <w:t>the SEC’s declaration of effectiveness of our registration statement on Form F-1, of which this prospectus is a part. Messrs. Li and Lee satisfy the “independence” requirements of Section 303A of the Corporate Governance Rules of the New York Stock Exchange.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86" w:lineRule="exact"/>
        <w:rPr>
          <w:sz w:val="20"/>
          <w:szCs w:val="20"/>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the total compensation package for our chief executive officer;</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recommending to the board with respect to the compensation of our directors; and</w:t>
      </w:r>
    </w:p>
    <w:p>
      <w:pPr>
        <w:spacing w:after="0" w:line="184"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periodically and approving any long-term incentive compensation or equity plans, programs or similar arrangements, annual bonuses, employee pension and welfare benefit plans.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Our nominating and corporate governance committee will consist of Ms. Xiaohong Chen, Mr. Robin</w:t>
      </w:r>
      <w:r>
        <w:rPr>
          <w:rFonts w:ascii="Arial" w:cs="Arial" w:eastAsia="Arial" w:hAnsi="Arial"/>
          <w:sz w:val="16"/>
          <w:szCs w:val="16"/>
          <w:i w:val="1"/>
          <w:iCs w:val="1"/>
          <w:color w:val="auto"/>
        </w:rPr>
        <w:t xml:space="preserve"> </w:t>
      </w:r>
      <w:r>
        <w:rPr>
          <w:rFonts w:ascii="Arial" w:cs="Arial" w:eastAsia="Arial" w:hAnsi="Arial"/>
          <w:sz w:val="16"/>
          <w:szCs w:val="16"/>
          <w:color w:val="auto"/>
        </w:rPr>
        <w:t>Yanhong Li and Mr. Denny Lee, commencing from the SEC’s declaration of effectiveness of our registration statement on Form F-1, of which this prospectus is a part. Messrs. Li and Lee satisfy the “independence” requirements of Section 303A of the Corporate Governance Rules of the New York Stock Exchange. The nominating and corporate governance committee assists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102"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or re-election to the board, or for appointment to fill any vacancy;</w:t>
      </w:r>
    </w:p>
    <w:p>
      <w:pPr>
        <w:spacing w:after="0" w:line="184"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w:t>
      </w:r>
    </w:p>
    <w:p>
      <w:pPr>
        <w:spacing w:after="0" w:line="118"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 and</w:t>
      </w:r>
    </w:p>
    <w:p>
      <w:pPr>
        <w:spacing w:after="0" w:line="126"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has the right to seek damages if a duty owed by our directors is breached.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6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officers are elected by and serve at the discretion of the board of directors. Our directors are not subject to a term of office and hold office until such time as they are removed from office by special resolution or the unanimous written resolution of all shareholders. A director will be removed from office automatically if, among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other things, the director (i) becomes bankrupt or makes any arrangement or composition with his creditors; or (ii) dies or is found by our company to be or becomes of unsound mind.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 fiscal year ended May 31, 2006, we paid an aggregate of approximately RMB4.5 million (US$562,000) in cash to our senior executive officers, and we paid an aggregate of RMB900,000 compensation to our non-executive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Issuance of Restricted Shares</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From January 2003 to May 2006, New Oriental China granted a total of 9,000,000 restricted shares to certain employees, directors, consultants and other individuals. All of these individuals appointed Beijing Beizhi Culture and Education Co., Ltd., or Beijing Beizhi, a PRC company, as a nominee to hold these restricted shares on their behalf. In December 2004, we underwent corporate restructuring, pursuant to which these individuals agreed to receive an identical proportional interest in our company as the proportional interest that Beijing Beizhi held for them in New Oriental China. These individuals, other than those who transferred their shares to their respective overseas holding companies, caused Capital River Group Limited, or Capital River, a British Virgin Islands company, to hold in trust the common shares of our company they received as a result of the restructuring. All of the common shares held by Capital River are restricted shares, subject to transfer restrictions and without the right to vote. As of the date of this prospectus, Capital River holds approximately 7.67 million restricted shares in trust. Immediately upon the completion of this offering, the restrictions on these shares and the trust arrangement will automatically terminate and each individual will become a direct holder of his or her shares.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Share Incentive Plan</w:t>
      </w:r>
    </w:p>
    <w:p>
      <w:pPr>
        <w:spacing w:after="0" w:line="1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January 20, 2006, we adopted a 2006 Share Incentive Plan, or the 2006 plan, to attract and retain the best available personnel, provide additional incentives to employees, directors and consultants and promote the success of our business. The maximum aggregate number of shares which may be issued pursuant to all awards (including options) is 8,000,000 shares, plus (i) 5,000,000 shares to be added on January 1, 2007, (ii) 5,000,000 shares to be added on January 1, 2008 and (iii) an annual increase on the first business day of each calendar year beginning in 2009 equal to the lesser of (x) 3,000,000 shares, (y) two percent (2%) of the number of shares outstanding as of such date, and (z) a lesser number of shares determined by the administrator of the 2006 Plan. In the event that the aggregate number of shares which may be issued pursuant to all the awards granted by us in any given year has reached the maximum amount allowed in such year, we may, during such year, grant additional awards to entitle the recipients thereto to acquire up to 2,000,000 shares, or the extra shares, provided that the maximum aggregate number of shares which may be issued pursuant to all awards for the following year will be reduced by the number of the extra shares underlying the awards granted in the previous year.</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summarizes, as of the date of this prospectus, the share options granted under our 2006 plan to several of our directors and executive officers and to other individuals as a group.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Common Shares</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7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7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(US$/Share)</w:t>
            </w:r>
          </w:p>
        </w:tc>
        <w:tc>
          <w:tcPr>
            <w:tcW w:w="780" w:type="dxa"/>
            <w:vAlign w:val="bottom"/>
          </w:tcPr>
          <w:p>
            <w:pPr>
              <w:spacing w:after="0"/>
              <w:rPr>
                <w:sz w:val="15"/>
                <w:szCs w:val="15"/>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Date of Grant</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Date of Expiration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T. Hsieh</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3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2/28/06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600,000</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US$</w:t>
            </w:r>
          </w:p>
        </w:tc>
        <w:tc>
          <w:tcPr>
            <w:tcW w:w="400" w:type="dxa"/>
            <w:vAlign w:val="bottom"/>
          </w:tcPr>
          <w:p>
            <w:pPr>
              <w:jc w:val="right"/>
              <w:spacing w:after="0"/>
              <w:rPr>
                <w:sz w:val="20"/>
                <w:szCs w:val="20"/>
                <w:color w:val="auto"/>
              </w:rPr>
            </w:pPr>
            <w:r>
              <w:rPr>
                <w:rFonts w:ascii="Arial" w:cs="Arial" w:eastAsia="Arial" w:hAnsi="Arial"/>
                <w:sz w:val="18"/>
                <w:szCs w:val="18"/>
                <w:color w:val="auto"/>
              </w:rPr>
              <w:t>2.38</w:t>
            </w:r>
          </w:p>
        </w:tc>
        <w:tc>
          <w:tcPr>
            <w:tcW w:w="2360" w:type="dxa"/>
            <w:vAlign w:val="bottom"/>
            <w:gridSpan w:val="3"/>
          </w:tcPr>
          <w:p>
            <w:pPr>
              <w:jc w:val="right"/>
              <w:ind w:right="780"/>
              <w:spacing w:after="0"/>
              <w:rPr>
                <w:sz w:val="20"/>
                <w:szCs w:val="20"/>
                <w:color w:val="auto"/>
              </w:rPr>
            </w:pPr>
            <w:r>
              <w:rPr>
                <w:rFonts w:ascii="Arial" w:cs="Arial" w:eastAsia="Arial" w:hAnsi="Arial"/>
                <w:sz w:val="18"/>
                <w:szCs w:val="18"/>
                <w:color w:val="auto"/>
              </w:rPr>
              <w:t>7/21/06</w:t>
            </w:r>
          </w:p>
        </w:tc>
        <w:tc>
          <w:tcPr>
            <w:tcW w:w="1080" w:type="dxa"/>
            <w:vAlign w:val="bottom"/>
          </w:tcPr>
          <w:p>
            <w:pPr>
              <w:jc w:val="right"/>
              <w:spacing w:after="0"/>
              <w:rPr>
                <w:sz w:val="20"/>
                <w:szCs w:val="20"/>
                <w:color w:val="auto"/>
              </w:rPr>
            </w:pPr>
            <w:r>
              <w:rPr>
                <w:rFonts w:ascii="Arial" w:cs="Arial" w:eastAsia="Arial" w:hAnsi="Arial"/>
                <w:sz w:val="18"/>
                <w:szCs w:val="18"/>
                <w:color w:val="auto"/>
              </w:rPr>
              <w:t>7/21/16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Chenggang Zhou</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3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2/28/06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Xiangdong Chen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US$</w:t>
            </w:r>
          </w:p>
        </w:tc>
        <w:tc>
          <w:tcPr>
            <w:tcW w:w="400" w:type="dxa"/>
            <w:vAlign w:val="bottom"/>
          </w:tcPr>
          <w:p>
            <w:pPr>
              <w:jc w:val="right"/>
              <w:spacing w:after="0"/>
              <w:rPr>
                <w:sz w:val="20"/>
                <w:szCs w:val="20"/>
                <w:color w:val="auto"/>
              </w:rPr>
            </w:pPr>
            <w:r>
              <w:rPr>
                <w:rFonts w:ascii="Arial" w:cs="Arial" w:eastAsia="Arial" w:hAnsi="Arial"/>
                <w:sz w:val="18"/>
                <w:szCs w:val="18"/>
                <w:color w:val="auto"/>
              </w:rPr>
              <w:t>2.02</w:t>
            </w:r>
          </w:p>
        </w:tc>
        <w:tc>
          <w:tcPr>
            <w:tcW w:w="2360" w:type="dxa"/>
            <w:vAlign w:val="bottom"/>
            <w:gridSpan w:val="3"/>
          </w:tcPr>
          <w:p>
            <w:pPr>
              <w:jc w:val="right"/>
              <w:ind w:right="780"/>
              <w:spacing w:after="0"/>
              <w:rPr>
                <w:sz w:val="20"/>
                <w:szCs w:val="20"/>
                <w:color w:val="auto"/>
              </w:rPr>
            </w:pPr>
            <w:r>
              <w:rPr>
                <w:rFonts w:ascii="Arial" w:cs="Arial" w:eastAsia="Arial" w:hAnsi="Arial"/>
                <w:sz w:val="18"/>
                <w:szCs w:val="18"/>
                <w:color w:val="auto"/>
              </w:rPr>
              <w:t>2/28/06</w:t>
            </w:r>
          </w:p>
        </w:tc>
        <w:tc>
          <w:tcPr>
            <w:tcW w:w="1080" w:type="dxa"/>
            <w:vAlign w:val="bottom"/>
          </w:tcPr>
          <w:p>
            <w:pPr>
              <w:jc w:val="right"/>
              <w:spacing w:after="0"/>
              <w:rPr>
                <w:sz w:val="20"/>
                <w:szCs w:val="20"/>
                <w:color w:val="auto"/>
              </w:rPr>
            </w:pPr>
            <w:r>
              <w:rPr>
                <w:rFonts w:ascii="Arial" w:cs="Arial" w:eastAsia="Arial" w:hAnsi="Arial"/>
                <w:sz w:val="18"/>
                <w:szCs w:val="18"/>
                <w:color w:val="auto"/>
              </w:rPr>
              <w:t>2/28/16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4,979,500</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3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2/28/06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1,020,000</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US$</w:t>
            </w:r>
          </w:p>
        </w:tc>
        <w:tc>
          <w:tcPr>
            <w:tcW w:w="400" w:type="dxa"/>
            <w:vAlign w:val="bottom"/>
          </w:tcPr>
          <w:p>
            <w:pPr>
              <w:jc w:val="right"/>
              <w:spacing w:after="0"/>
              <w:rPr>
                <w:sz w:val="20"/>
                <w:szCs w:val="20"/>
                <w:color w:val="auto"/>
              </w:rPr>
            </w:pPr>
            <w:r>
              <w:rPr>
                <w:rFonts w:ascii="Arial" w:cs="Arial" w:eastAsia="Arial" w:hAnsi="Arial"/>
                <w:sz w:val="18"/>
                <w:szCs w:val="18"/>
                <w:color w:val="auto"/>
              </w:rPr>
              <w:t>2.38</w:t>
            </w:r>
          </w:p>
        </w:tc>
        <w:tc>
          <w:tcPr>
            <w:tcW w:w="2360" w:type="dxa"/>
            <w:vAlign w:val="bottom"/>
            <w:gridSpan w:val="3"/>
          </w:tcPr>
          <w:p>
            <w:pPr>
              <w:jc w:val="right"/>
              <w:ind w:right="780"/>
              <w:spacing w:after="0"/>
              <w:rPr>
                <w:sz w:val="20"/>
                <w:szCs w:val="20"/>
                <w:color w:val="auto"/>
              </w:rPr>
            </w:pPr>
            <w:r>
              <w:rPr>
                <w:rFonts w:ascii="Arial" w:cs="Arial" w:eastAsia="Arial" w:hAnsi="Arial"/>
                <w:sz w:val="18"/>
                <w:szCs w:val="18"/>
                <w:color w:val="auto"/>
              </w:rPr>
              <w:t>7/21/06</w:t>
            </w:r>
          </w:p>
        </w:tc>
        <w:tc>
          <w:tcPr>
            <w:tcW w:w="1080" w:type="dxa"/>
            <w:vAlign w:val="bottom"/>
          </w:tcPr>
          <w:p>
            <w:pPr>
              <w:jc w:val="right"/>
              <w:spacing w:after="0"/>
              <w:rPr>
                <w:sz w:val="20"/>
                <w:szCs w:val="20"/>
                <w:color w:val="auto"/>
              </w:rPr>
            </w:pPr>
            <w:r>
              <w:rPr>
                <w:rFonts w:ascii="Arial" w:cs="Arial" w:eastAsia="Arial" w:hAnsi="Arial"/>
                <w:sz w:val="18"/>
                <w:szCs w:val="18"/>
                <w:color w:val="auto"/>
              </w:rPr>
              <w:t>7/21/16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607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Less than 1% of our total outstanding voting securities.</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paragraphs describe the principal terms of the 2006 plan.</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We may grant the following types of awards under our 2006 plan:</w:t>
      </w:r>
    </w:p>
    <w:p>
      <w:pPr>
        <w:spacing w:after="0" w:line="157" w:lineRule="exact"/>
        <w:rPr>
          <w:rFonts w:ascii="Arial" w:cs="Arial" w:eastAsia="Arial" w:hAnsi="Arial"/>
          <w:sz w:val="18"/>
          <w:szCs w:val="18"/>
          <w:color w:val="auto"/>
        </w:rPr>
      </w:pPr>
    </w:p>
    <w:p>
      <w:pPr>
        <w:ind w:left="780" w:hanging="326"/>
        <w:spacing w:after="0"/>
        <w:tabs>
          <w:tab w:leader="none" w:pos="7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options to purchase our common shares;</w:t>
      </w:r>
    </w:p>
    <w:p>
      <w:pPr>
        <w:spacing w:after="0" w:line="184" w:lineRule="exact"/>
        <w:rPr>
          <w:rFonts w:ascii="Arial" w:cs="Arial" w:eastAsia="Arial" w:hAnsi="Arial"/>
          <w:sz w:val="18"/>
          <w:szCs w:val="18"/>
          <w:color w:val="auto"/>
        </w:rPr>
      </w:pPr>
    </w:p>
    <w:p>
      <w:pPr>
        <w:ind w:left="780" w:right="420" w:hanging="326"/>
        <w:spacing w:after="0" w:line="268" w:lineRule="auto"/>
        <w:tabs>
          <w:tab w:leader="none" w:pos="7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share appreciation rights, which entitle the grantee the right to common shares or cash compensation measured by the appreciation in the value of common shares;</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dividend equivalent rights, which entitle the grantee to compensation measured by dividends paid with respect to common shares;</w:t>
      </w:r>
    </w:p>
    <w:p>
      <w:pPr>
        <w:spacing w:after="0" w:line="184" w:lineRule="exact"/>
        <w:rPr>
          <w:rFonts w:ascii="Arial" w:cs="Arial" w:eastAsia="Arial" w:hAnsi="Arial"/>
          <w:sz w:val="18"/>
          <w:szCs w:val="18"/>
          <w:color w:val="auto"/>
        </w:rPr>
      </w:pPr>
    </w:p>
    <w:p>
      <w:pPr>
        <w:ind w:left="780" w:right="20" w:hanging="326"/>
        <w:spacing w:after="0" w:line="268" w:lineRule="auto"/>
        <w:tabs>
          <w:tab w:leader="none" w:pos="7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restricted shares, which are common shares issued to the grantee that are subject to transfer restrictions, right of first refusal, repurchase, forfeiture, and other terms and conditions as established by our plan administrator; and</w:t>
      </w:r>
    </w:p>
    <w:p>
      <w:pPr>
        <w:spacing w:after="0" w:line="118" w:lineRule="exact"/>
        <w:rPr>
          <w:rFonts w:ascii="Arial" w:cs="Arial" w:eastAsia="Arial" w:hAnsi="Arial"/>
          <w:sz w:val="18"/>
          <w:szCs w:val="18"/>
          <w:color w:val="auto"/>
        </w:rPr>
      </w:pPr>
    </w:p>
    <w:p>
      <w:pPr>
        <w:ind w:left="780" w:right="440" w:hanging="326"/>
        <w:spacing w:after="0" w:line="332" w:lineRule="auto"/>
        <w:tabs>
          <w:tab w:leader="none" w:pos="7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restricted share units, which may be earned upon the passage of time or the attainment of performance criteria and which may be settled for cash, common shares or other securities, or a combination of cash, common shares or other securities as established by our plan administrator.</w:t>
      </w:r>
    </w:p>
    <w:p>
      <w:pPr>
        <w:spacing w:after="0" w:line="7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designated by our board or directors, will administer the 2006 plan. The committee or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as appropriate, will determine the provisions and terms and conditions of each award grant.</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Award Agreement</w:t>
      </w:r>
      <w:r>
        <w:rPr>
          <w:rFonts w:ascii="Arial" w:cs="Arial" w:eastAsia="Arial" w:hAnsi="Arial"/>
          <w:sz w:val="16"/>
          <w:szCs w:val="16"/>
          <w:color w:val="auto"/>
        </w:rPr>
        <w:t>. Awards granted under our 2006 plan are evidenced by an award agreement that sets forth the terms, conditions and limitations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award. In addition, the award agreement also specifies whether the option constitutes an incentive share option, or ISO, or a non-qualifying stock option.</w:t>
      </w:r>
    </w:p>
    <w:p>
      <w:pPr>
        <w:spacing w:after="0" w:line="7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We may grant awards to our employees, directors and consultants, including those of our parent companies and subsidiaries. However, we may</w:t>
      </w:r>
      <w:r>
        <w:rPr>
          <w:rFonts w:ascii="Arial" w:cs="Arial" w:eastAsia="Arial" w:hAnsi="Arial"/>
          <w:sz w:val="16"/>
          <w:szCs w:val="16"/>
          <w:i w:val="1"/>
          <w:iCs w:val="1"/>
          <w:color w:val="auto"/>
        </w:rPr>
        <w:t xml:space="preserve"> </w:t>
      </w:r>
      <w:r>
        <w:rPr>
          <w:rFonts w:ascii="Arial" w:cs="Arial" w:eastAsia="Arial" w:hAnsi="Arial"/>
          <w:sz w:val="16"/>
          <w:szCs w:val="16"/>
          <w:color w:val="auto"/>
        </w:rPr>
        <w:t>grant options that are intended to qualify as ISOs only to our employees and employees of our parent companies and subsidiaries.</w:t>
      </w:r>
    </w:p>
    <w:p>
      <w:pPr>
        <w:spacing w:after="0" w:line="7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i w:val="1"/>
          <w:iCs w:val="1"/>
          <w:color w:val="auto"/>
        </w:rPr>
        <w:t>Acceleration of Awards upon Corporate Transactions</w:t>
      </w:r>
      <w:r>
        <w:rPr>
          <w:rFonts w:ascii="Arial" w:cs="Arial" w:eastAsia="Arial" w:hAnsi="Arial"/>
          <w:sz w:val="16"/>
          <w:szCs w:val="16"/>
          <w:color w:val="auto"/>
        </w:rPr>
        <w:t>. The outstanding awards will terminate and accelerate upon occurrence of certain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transactions, including amalgamations, consolidations, liquidations or dissolutions, sales of substantially all or all of the assets, reverse takeovers or acquisitions resulting in a change of control. If the successor entity assumes or replaces our outstanding awards under the 2006 plan, such assumed or replaced awards will become fully vested and immediately exercisable and payable,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and be released from repurchase or forfeiture rights immediately upon termination of the grantee’s continuous service to us if such service is terminated by the successor entity without cause within 12 months after the effective date of the corporate transaction. Furthermore, if the successor entity does not assume or replace our outstanding awards, each outstanding award will become fully vested and immediately exercisable and payable, and will be released from any repurchase or forfeiture rights immediately before the effective date of the corporate transaction, as long as the grantee’s continuous service with us has not been terminated before this date.</w:t>
      </w:r>
    </w:p>
    <w:p>
      <w:pPr>
        <w:spacing w:after="0" w:line="129"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i w:val="1"/>
          <w:iCs w:val="1"/>
          <w:color w:val="auto"/>
        </w:rPr>
        <w:t>Exercise Price and Term of Awards</w:t>
      </w:r>
      <w:r>
        <w:rPr>
          <w:rFonts w:ascii="Arial" w:cs="Arial" w:eastAsia="Arial" w:hAnsi="Arial"/>
          <w:sz w:val="16"/>
          <w:szCs w:val="16"/>
          <w:color w:val="auto"/>
        </w:rPr>
        <w:t>. In general, the plan administrator determines the exercise price of an option and sets forth the price in the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exercise price may be a fixed or variable price related to the fair market value of our common shares. If we grant an ISO to an employee, the exercise price may not be less than 100% of the fair market value of our common shares on the date of the grant, except that if the grantee, at the time of that grant, owns shares representing more than 10% of the voting power of all classes of our shares, the exercise price may not be less than 110% of the fair market value of our common shares on the date of that grant. If we grant a non-qualified share option to a grantee, the exercise price may not be less than 100% of the fair market value of our common shares on the date of grant.</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term of each award under our 2006 plan will be specified in an award agreement, but shall not exceed ten years from the earlier to occur of adoption or approval of the plan, unless sooner terminated.</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Vesting Schedule</w:t>
      </w:r>
      <w:r>
        <w:rPr>
          <w:rFonts w:ascii="Arial" w:cs="Arial" w:eastAsia="Arial" w:hAnsi="Arial"/>
          <w:sz w:val="18"/>
          <w:szCs w:val="18"/>
          <w:color w:val="auto"/>
        </w:rPr>
        <w:t>. One-sixth of the common shares underlying the option will vest on each six-month anniversary of the vesting commencement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the option award notice. The vesting will be suspended if the grantee’s leave of absence exceeds 90 days and will resume upon the grantee’s return to service to 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6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shares, assuming conversion of all of our preferred shares into common shares, as of the date of this prospectus, by:</w:t>
      </w:r>
    </w:p>
    <w:p>
      <w:pPr>
        <w:spacing w:after="0" w:line="37" w:lineRule="exact"/>
        <w:rPr>
          <w:sz w:val="20"/>
          <w:szCs w:val="20"/>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person known to us to own more than 5.0% of our common 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00" w:type="dxa"/>
            <w:vAlign w:val="bottom"/>
            <w:gridSpan w:val="3"/>
          </w:tcPr>
          <w:p>
            <w:pPr>
              <w:jc w:val="right"/>
              <w:ind w:right="135"/>
              <w:spacing w:after="0"/>
              <w:rPr>
                <w:sz w:val="20"/>
                <w:szCs w:val="20"/>
                <w:color w:val="auto"/>
              </w:rPr>
            </w:pPr>
            <w:r>
              <w:rPr>
                <w:rFonts w:ascii="Arial" w:cs="Arial" w:eastAsia="Arial" w:hAnsi="Arial"/>
                <w:sz w:val="14"/>
                <w:szCs w:val="14"/>
                <w:b w:val="1"/>
                <w:bCs w:val="1"/>
                <w:color w:val="auto"/>
                <w:w w:val="96"/>
              </w:rPr>
              <w:t>Common Shares Beneficially</w:t>
            </w:r>
          </w:p>
        </w:tc>
        <w:tc>
          <w:tcPr>
            <w:tcW w:w="440" w:type="dxa"/>
            <w:vAlign w:val="bottom"/>
          </w:tcPr>
          <w:p>
            <w:pPr>
              <w:spacing w:after="0"/>
              <w:rPr>
                <w:sz w:val="14"/>
                <w:szCs w:val="14"/>
                <w:color w:val="auto"/>
              </w:rPr>
            </w:pPr>
          </w:p>
        </w:tc>
        <w:tc>
          <w:tcPr>
            <w:tcW w:w="19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Shares Beneficially Owned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100" w:type="dxa"/>
            <w:vAlign w:val="bottom"/>
            <w:gridSpan w:val="3"/>
          </w:tcPr>
          <w:p>
            <w:pPr>
              <w:ind w:left="200"/>
              <w:spacing w:after="0"/>
              <w:rPr>
                <w:sz w:val="20"/>
                <w:szCs w:val="20"/>
                <w:color w:val="auto"/>
              </w:rPr>
            </w:pPr>
            <w:r>
              <w:rPr>
                <w:rFonts w:ascii="Arial" w:cs="Arial" w:eastAsia="Arial" w:hAnsi="Arial"/>
                <w:sz w:val="14"/>
                <w:szCs w:val="14"/>
                <w:b w:val="1"/>
                <w:bCs w:val="1"/>
                <w:color w:val="auto"/>
                <w:w w:val="98"/>
              </w:rPr>
              <w:t>Owned Prior to This Offering</w:t>
            </w:r>
          </w:p>
        </w:tc>
        <w:tc>
          <w:tcPr>
            <w:tcW w:w="440" w:type="dxa"/>
            <w:vAlign w:val="bottom"/>
          </w:tcPr>
          <w:p>
            <w:pPr>
              <w:spacing w:after="0"/>
              <w:rPr>
                <w:sz w:val="15"/>
                <w:szCs w:val="15"/>
                <w:color w:val="auto"/>
              </w:rPr>
            </w:pPr>
          </w:p>
        </w:tc>
        <w:tc>
          <w:tcPr>
            <w:tcW w:w="1540" w:type="dxa"/>
            <w:vAlign w:val="bottom"/>
            <w:gridSpan w:val="3"/>
          </w:tcPr>
          <w:p>
            <w:pPr>
              <w:jc w:val="center"/>
              <w:ind w:left="332"/>
              <w:spacing w:after="0"/>
              <w:rPr>
                <w:sz w:val="20"/>
                <w:szCs w:val="20"/>
                <w:color w:val="auto"/>
              </w:rPr>
            </w:pPr>
            <w:r>
              <w:rPr>
                <w:rFonts w:ascii="Arial" w:cs="Arial" w:eastAsia="Arial" w:hAnsi="Arial"/>
                <w:sz w:val="14"/>
                <w:szCs w:val="14"/>
                <w:b w:val="1"/>
                <w:bCs w:val="1"/>
                <w:color w:val="auto"/>
                <w:w w:val="92"/>
              </w:rPr>
              <w:t>After This Offering</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 xml:space="preserve">Number </w:t>
            </w:r>
            <w:r>
              <w:rPr>
                <w:rFonts w:ascii="Arial" w:cs="Arial" w:eastAsia="Arial" w:hAnsi="Arial"/>
                <w:sz w:val="22"/>
                <w:szCs w:val="22"/>
                <w:b w:val="1"/>
                <w:bCs w:val="1"/>
                <w:color w:val="auto"/>
                <w:vertAlign w:val="superscript"/>
              </w:rPr>
              <w:t>(1)</w:t>
            </w:r>
          </w:p>
        </w:tc>
        <w:tc>
          <w:tcPr>
            <w:tcW w:w="640" w:type="dxa"/>
            <w:vAlign w:val="bottom"/>
          </w:tcPr>
          <w:p>
            <w:pPr>
              <w:jc w:val="right"/>
              <w:ind w:right="95"/>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(2)</w:t>
            </w:r>
          </w:p>
        </w:tc>
        <w:tc>
          <w:tcPr>
            <w:tcW w:w="440" w:type="dxa"/>
            <w:vAlign w:val="bottom"/>
          </w:tcPr>
          <w:p>
            <w:pPr>
              <w:spacing w:after="0"/>
              <w:rPr>
                <w:sz w:val="24"/>
                <w:szCs w:val="24"/>
                <w:color w:val="auto"/>
              </w:rPr>
            </w:pP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Number</w:t>
            </w:r>
            <w:r>
              <w:rPr>
                <w:rFonts w:ascii="Arial" w:cs="Arial" w:eastAsia="Arial" w:hAnsi="Arial"/>
                <w:sz w:val="22"/>
                <w:szCs w:val="22"/>
                <w:b w:val="1"/>
                <w:bCs w:val="1"/>
                <w:color w:val="auto"/>
                <w:vertAlign w:val="superscript"/>
              </w:rPr>
              <w:t>(1)(3)</w:t>
            </w:r>
          </w:p>
        </w:tc>
        <w:tc>
          <w:tcPr>
            <w:tcW w:w="400" w:type="dxa"/>
            <w:vAlign w:val="bottom"/>
          </w:tcPr>
          <w:p>
            <w:pPr>
              <w:jc w:val="right"/>
              <w:ind w:right="55"/>
              <w:spacing w:after="0"/>
              <w:rPr>
                <w:sz w:val="20"/>
                <w:szCs w:val="20"/>
                <w:color w:val="auto"/>
              </w:rPr>
            </w:pPr>
            <w:r>
              <w:rPr>
                <w:rFonts w:ascii="Arial" w:cs="Arial" w:eastAsia="Arial" w:hAnsi="Arial"/>
                <w:sz w:val="27"/>
                <w:szCs w:val="27"/>
                <w:b w:val="1"/>
                <w:bCs w:val="1"/>
                <w:color w:val="auto"/>
                <w:w w:val="81"/>
                <w:vertAlign w:val="subscript"/>
              </w:rPr>
              <w:t>%</w:t>
            </w:r>
            <w:r>
              <w:rPr>
                <w:rFonts w:ascii="Arial" w:cs="Arial" w:eastAsia="Arial" w:hAnsi="Arial"/>
                <w:sz w:val="11"/>
                <w:szCs w:val="11"/>
                <w:b w:val="1"/>
                <w:bCs w:val="1"/>
                <w:color w:val="auto"/>
                <w:w w:val="81"/>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50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940" w:type="dxa"/>
            <w:vAlign w:val="bottom"/>
            <w:gridSpan w:val="3"/>
          </w:tcPr>
          <w:p>
            <w:pPr>
              <w:spacing w:after="0"/>
              <w:rPr>
                <w:sz w:val="20"/>
                <w:szCs w:val="20"/>
                <w:color w:val="auto"/>
              </w:rPr>
            </w:pPr>
            <w:r>
              <w:rPr>
                <w:rFonts w:ascii="Arial" w:cs="Arial" w:eastAsia="Arial" w:hAnsi="Arial"/>
                <w:sz w:val="18"/>
                <w:szCs w:val="18"/>
                <w:color w:val="auto"/>
              </w:rPr>
              <w:t xml:space="preserve">Michael Minhong Yu </w:t>
            </w:r>
            <w:r>
              <w:rPr>
                <w:rFonts w:ascii="Arial" w:cs="Arial" w:eastAsia="Arial" w:hAnsi="Arial"/>
                <w:sz w:val="22"/>
                <w:szCs w:val="22"/>
                <w:color w:val="auto"/>
                <w:vertAlign w:val="superscript"/>
              </w:rPr>
              <w:t>(4)</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44,000,000</w:t>
            </w:r>
          </w:p>
        </w:tc>
        <w:tc>
          <w:tcPr>
            <w:tcW w:w="640" w:type="dxa"/>
            <w:vAlign w:val="bottom"/>
          </w:tcPr>
          <w:p>
            <w:pPr>
              <w:jc w:val="right"/>
              <w:spacing w:after="0"/>
              <w:rPr>
                <w:sz w:val="20"/>
                <w:szCs w:val="20"/>
                <w:color w:val="auto"/>
              </w:rPr>
            </w:pPr>
            <w:r>
              <w:rPr>
                <w:rFonts w:ascii="Arial" w:cs="Arial" w:eastAsia="Arial" w:hAnsi="Arial"/>
                <w:sz w:val="18"/>
                <w:szCs w:val="18"/>
                <w:color w:val="auto"/>
              </w:rPr>
              <w:t>39.60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44,000,000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31.18</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Louis T. Hsieh </w:t>
            </w:r>
            <w:r>
              <w:rPr>
                <w:rFonts w:ascii="Arial" w:cs="Arial" w:eastAsia="Arial" w:hAnsi="Arial"/>
                <w:sz w:val="22"/>
                <w:szCs w:val="22"/>
                <w:color w:val="auto"/>
                <w:vertAlign w:val="superscript"/>
              </w:rPr>
              <w:t>(5)</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940" w:type="dxa"/>
            <w:vAlign w:val="bottom"/>
            <w:gridSpan w:val="3"/>
          </w:tcPr>
          <w:p>
            <w:pPr>
              <w:spacing w:after="0"/>
              <w:rPr>
                <w:sz w:val="20"/>
                <w:szCs w:val="20"/>
                <w:color w:val="auto"/>
              </w:rPr>
            </w:pPr>
            <w:r>
              <w:rPr>
                <w:rFonts w:ascii="Arial" w:cs="Arial" w:eastAsia="Arial" w:hAnsi="Arial"/>
                <w:sz w:val="18"/>
                <w:szCs w:val="18"/>
                <w:color w:val="auto"/>
              </w:rPr>
              <w:t xml:space="preserve">Chenggang Zhou </w:t>
            </w:r>
            <w:r>
              <w:rPr>
                <w:rFonts w:ascii="Arial" w:cs="Arial" w:eastAsia="Arial" w:hAnsi="Arial"/>
                <w:sz w:val="22"/>
                <w:szCs w:val="22"/>
                <w:color w:val="auto"/>
                <w:vertAlign w:val="superscript"/>
              </w:rPr>
              <w:t>(6)</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Xiangdong Chen </w:t>
            </w:r>
            <w:r>
              <w:rPr>
                <w:rFonts w:ascii="Arial" w:cs="Arial" w:eastAsia="Arial" w:hAnsi="Arial"/>
                <w:sz w:val="22"/>
                <w:szCs w:val="22"/>
                <w:color w:val="auto"/>
                <w:vertAlign w:val="superscript"/>
              </w:rPr>
              <w:t>(7)</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940" w:type="dxa"/>
            <w:vAlign w:val="bottom"/>
            <w:gridSpan w:val="3"/>
          </w:tcPr>
          <w:p>
            <w:pPr>
              <w:spacing w:after="0"/>
              <w:rPr>
                <w:sz w:val="20"/>
                <w:szCs w:val="20"/>
                <w:color w:val="auto"/>
              </w:rPr>
            </w:pPr>
            <w:r>
              <w:rPr>
                <w:rFonts w:ascii="Arial" w:cs="Arial" w:eastAsia="Arial" w:hAnsi="Arial"/>
                <w:sz w:val="18"/>
                <w:szCs w:val="18"/>
                <w:color w:val="auto"/>
              </w:rPr>
              <w:t xml:space="preserve">Xiaohong Chen </w:t>
            </w:r>
            <w:r>
              <w:rPr>
                <w:rFonts w:ascii="Arial" w:cs="Arial" w:eastAsia="Arial" w:hAnsi="Arial"/>
                <w:sz w:val="22"/>
                <w:szCs w:val="22"/>
                <w:color w:val="auto"/>
                <w:vertAlign w:val="superscript"/>
              </w:rPr>
              <w:t>(8)</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21,038,339</w:t>
            </w:r>
          </w:p>
        </w:tc>
        <w:tc>
          <w:tcPr>
            <w:tcW w:w="640" w:type="dxa"/>
            <w:vAlign w:val="bottom"/>
          </w:tcPr>
          <w:p>
            <w:pPr>
              <w:jc w:val="right"/>
              <w:spacing w:after="0"/>
              <w:rPr>
                <w:sz w:val="20"/>
                <w:szCs w:val="20"/>
                <w:color w:val="auto"/>
              </w:rPr>
            </w:pPr>
            <w:r>
              <w:rPr>
                <w:rFonts w:ascii="Arial" w:cs="Arial" w:eastAsia="Arial" w:hAnsi="Arial"/>
                <w:sz w:val="18"/>
                <w:szCs w:val="18"/>
                <w:color w:val="auto"/>
              </w:rPr>
              <w:t>18.93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21,038,339</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14.91</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All Directors and Executive Officers as a Group </w:t>
            </w:r>
            <w:r>
              <w:rPr>
                <w:rFonts w:ascii="Arial" w:cs="Arial" w:eastAsia="Arial" w:hAnsi="Arial"/>
                <w:sz w:val="22"/>
                <w:szCs w:val="22"/>
                <w:color w:val="auto"/>
                <w:vertAlign w:val="superscript"/>
              </w:rPr>
              <w:t>(9)</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66,530,874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66,530,874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Principal Shareholders:</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50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Tigerstep Developments Limited </w:t>
            </w:r>
            <w:r>
              <w:rPr>
                <w:rFonts w:ascii="Arial" w:cs="Arial" w:eastAsia="Arial" w:hAnsi="Arial"/>
                <w:sz w:val="22"/>
                <w:szCs w:val="22"/>
                <w:color w:val="auto"/>
                <w:vertAlign w:val="superscript"/>
              </w:rPr>
              <w:t>(10)</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44,000,000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940" w:type="dxa"/>
            <w:vAlign w:val="bottom"/>
            <w:gridSpan w:val="3"/>
          </w:tcPr>
          <w:p>
            <w:pPr>
              <w:spacing w:after="0"/>
              <w:rPr>
                <w:sz w:val="20"/>
                <w:szCs w:val="20"/>
                <w:color w:val="auto"/>
              </w:rPr>
            </w:pPr>
            <w:r>
              <w:rPr>
                <w:rFonts w:ascii="Arial" w:cs="Arial" w:eastAsia="Arial" w:hAnsi="Arial"/>
                <w:sz w:val="18"/>
                <w:szCs w:val="18"/>
                <w:color w:val="auto"/>
              </w:rPr>
              <w:t xml:space="preserve">Investment entities affiliated with Tiger Global Private Investment Partners II, L.P. </w:t>
            </w:r>
            <w:r>
              <w:rPr>
                <w:rFonts w:ascii="Arial" w:cs="Arial" w:eastAsia="Arial" w:hAnsi="Arial"/>
                <w:sz w:val="22"/>
                <w:szCs w:val="22"/>
                <w:color w:val="auto"/>
                <w:vertAlign w:val="superscript"/>
              </w:rPr>
              <w:t>(11)</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21,038,339</w:t>
            </w:r>
          </w:p>
        </w:tc>
        <w:tc>
          <w:tcPr>
            <w:tcW w:w="640" w:type="dxa"/>
            <w:vAlign w:val="bottom"/>
          </w:tcPr>
          <w:p>
            <w:pPr>
              <w:jc w:val="right"/>
              <w:spacing w:after="0"/>
              <w:rPr>
                <w:sz w:val="20"/>
                <w:szCs w:val="20"/>
                <w:color w:val="auto"/>
              </w:rPr>
            </w:pPr>
            <w:r>
              <w:rPr>
                <w:rFonts w:ascii="Arial" w:cs="Arial" w:eastAsia="Arial" w:hAnsi="Arial"/>
                <w:sz w:val="18"/>
                <w:szCs w:val="18"/>
                <w:color w:val="auto"/>
              </w:rPr>
              <w:t>18.93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21,038,339</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14.91</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Capital River Group Limited </w:t>
            </w:r>
            <w:r>
              <w:rPr>
                <w:rFonts w:ascii="Arial" w:cs="Arial" w:eastAsia="Arial" w:hAnsi="Arial"/>
                <w:sz w:val="22"/>
                <w:szCs w:val="22"/>
                <w:color w:val="auto"/>
                <w:vertAlign w:val="superscript"/>
              </w:rPr>
              <w:t>(12)</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7,675,222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7,675,222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940" w:type="dxa"/>
            <w:vAlign w:val="bottom"/>
            <w:gridSpan w:val="3"/>
          </w:tcPr>
          <w:p>
            <w:pPr>
              <w:spacing w:after="0"/>
              <w:rPr>
                <w:sz w:val="20"/>
                <w:szCs w:val="20"/>
                <w:color w:val="auto"/>
              </w:rPr>
            </w:pPr>
            <w:r>
              <w:rPr>
                <w:rFonts w:ascii="Arial" w:cs="Arial" w:eastAsia="Arial" w:hAnsi="Arial"/>
                <w:sz w:val="18"/>
                <w:szCs w:val="18"/>
                <w:color w:val="auto"/>
              </w:rPr>
              <w:t xml:space="preserve">Peak Idea International Limited </w:t>
            </w:r>
            <w:r>
              <w:rPr>
                <w:rFonts w:ascii="Arial" w:cs="Arial" w:eastAsia="Arial" w:hAnsi="Arial"/>
                <w:sz w:val="22"/>
                <w:szCs w:val="22"/>
                <w:color w:val="auto"/>
                <w:vertAlign w:val="superscript"/>
              </w:rPr>
              <w:t>(13)</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7,378,696</w:t>
            </w:r>
          </w:p>
        </w:tc>
        <w:tc>
          <w:tcPr>
            <w:tcW w:w="640" w:type="dxa"/>
            <w:vAlign w:val="bottom"/>
          </w:tcPr>
          <w:p>
            <w:pPr>
              <w:jc w:val="right"/>
              <w:spacing w:after="0"/>
              <w:rPr>
                <w:sz w:val="20"/>
                <w:szCs w:val="20"/>
                <w:color w:val="auto"/>
              </w:rPr>
            </w:pPr>
            <w:r>
              <w:rPr>
                <w:rFonts w:ascii="Arial" w:cs="Arial" w:eastAsia="Arial" w:hAnsi="Arial"/>
                <w:sz w:val="18"/>
                <w:szCs w:val="18"/>
                <w:color w:val="auto"/>
              </w:rPr>
              <w:t>6.64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7,378,696</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Forthright Trading Limited </w:t>
            </w:r>
            <w:r>
              <w:rPr>
                <w:rFonts w:ascii="Arial" w:cs="Arial" w:eastAsia="Arial" w:hAnsi="Arial"/>
                <w:sz w:val="22"/>
                <w:szCs w:val="22"/>
                <w:color w:val="auto"/>
                <w:vertAlign w:val="superscript"/>
              </w:rPr>
              <w:t>(14)</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5,641,734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5,641,734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340" w:right="440" w:hanging="332"/>
        <w:spacing w:after="0" w:line="268"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Beneficial ownership of each listed person is determined assuming the conversion of all outstanding preferred shares held by such person into common shares and the shares that such person has the right to acquire within 60 days after the date of this prospectus.</w:t>
      </w:r>
    </w:p>
    <w:p>
      <w:pPr>
        <w:spacing w:after="0" w:line="37" w:lineRule="exact"/>
        <w:rPr>
          <w:rFonts w:ascii="Arial" w:cs="Arial" w:eastAsia="Arial" w:hAnsi="Arial"/>
          <w:sz w:val="18"/>
          <w:szCs w:val="18"/>
          <w:color w:val="auto"/>
        </w:rPr>
      </w:pPr>
    </w:p>
    <w:p>
      <w:pPr>
        <w:ind w:left="340" w:right="100" w:hanging="332"/>
        <w:spacing w:after="0" w:line="294"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percentage of beneficial ownership of each listed person prior to this offering is based on 111,111,111 common shares outstanding as of the date of this prospectus, including common shares convertible from our preferred shares and shares that such person has the right to acquire within 60 days after the date of this prospectus. The percentage of beneficial ownership of each listed person after this offering is based on 141,111,111 shares outstanding immediately after the closing of this offering, including common shares issued in this offering and common shares issued upon the conversion of all of our preferred shares, as well as the number of shares that such person has the right to acquire within 60 days after the date of this prospectus.</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Assumes that the underwriters do not exercise the over-allotment option.</w:t>
      </w:r>
    </w:p>
    <w:p>
      <w:pPr>
        <w:spacing w:after="0" w:line="76" w:lineRule="exact"/>
        <w:rPr>
          <w:rFonts w:ascii="Arial" w:cs="Arial" w:eastAsia="Arial" w:hAnsi="Arial"/>
          <w:sz w:val="18"/>
          <w:szCs w:val="18"/>
          <w:color w:val="auto"/>
        </w:rPr>
      </w:pPr>
    </w:p>
    <w:p>
      <w:pPr>
        <w:ind w:left="340" w:right="160" w:hanging="332"/>
        <w:spacing w:after="0" w:line="259"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44,000,000 common shares held by Tigerstep Developments Limited, a British Virgin Islands company wholly owned by Bamei Li, mother of Mr. Yu. Mr. Yu disclaims beneficial ownership of all the shares held by Tigerstep Developments Limited. The business address of Mr. Yu is No. 6 Hai Dian Zhong Street, Haidian District, Beijing 100080, People’s Republic of China.</w:t>
      </w:r>
    </w:p>
    <w:p>
      <w:pPr>
        <w:spacing w:after="0" w:line="45"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business address of Mr. Hsieh is No. 6 Hai Dian Zhong Street, Haidian District, Beijing 100080, People’s Republic of China.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business address of Mr. Zhou is No. 6 Hai Dian Zhong Street, Haidian District, Beijing 100080, People’s Republic of China.</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business address of Mr. Chen is No. 6 Hai Dian Zhong Street, Haidian District, Beijing 100080, People’s Republic of China.</w:t>
      </w:r>
    </w:p>
    <w:p>
      <w:pPr>
        <w:spacing w:after="0" w:line="76" w:lineRule="exact"/>
        <w:rPr>
          <w:rFonts w:ascii="Arial" w:cs="Arial" w:eastAsia="Arial" w:hAnsi="Arial"/>
          <w:sz w:val="18"/>
          <w:szCs w:val="18"/>
          <w:color w:val="auto"/>
        </w:rPr>
      </w:pPr>
    </w:p>
    <w:p>
      <w:pPr>
        <w:ind w:left="340" w:right="100" w:hanging="332"/>
        <w:spacing w:after="0" w:line="291"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11,102,144 common shares issuable upon conversion of the same number of preferred shares and 9,905,889 common shares held by Tiger Global Private Investment Partners II, L.P. and 8,967 common shares issuable upon conversion of the same number of preferred shares and 21,339 common shares held by Tiger Global II, L.P. Ms. Chen is managing director at Tiger Global Private Investment Partners II, L.P. Ms. Chen disclaims beneficial ownership of all of our shares held by the investment entities affiliated with Tiger Global Private Investment Partners II, L.P. except to the extent of her pecuniary interest therein. The business address of Ms. Chen is c/o Tiger Global Management, LLC, Suite 1007, Tower W2, Oriental Plaza, No. 1 East Chang An Avenue, Dong Cheng District, Beijing 100738, PRC.</w:t>
      </w:r>
    </w:p>
    <w:p>
      <w:pPr>
        <w:spacing w:after="0" w:line="25" w:lineRule="exact"/>
        <w:rPr>
          <w:rFonts w:ascii="Arial" w:cs="Arial" w:eastAsia="Arial" w:hAnsi="Arial"/>
          <w:sz w:val="16"/>
          <w:szCs w:val="16"/>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common shares and preferred shares held by all of our directors and senior executive officers as a group.</w:t>
      </w:r>
    </w:p>
    <w:p>
      <w:pPr>
        <w:spacing w:after="0" w:line="76" w:lineRule="exact"/>
        <w:rPr>
          <w:rFonts w:ascii="Arial" w:cs="Arial" w:eastAsia="Arial" w:hAnsi="Arial"/>
          <w:sz w:val="18"/>
          <w:szCs w:val="18"/>
          <w:color w:val="auto"/>
        </w:rPr>
      </w:pPr>
    </w:p>
    <w:p>
      <w:pPr>
        <w:ind w:left="340" w:right="380" w:hanging="332"/>
        <w:spacing w:after="0" w:line="325"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Tigerstep Developments Limited, a company incorporated in British Virgin Islands, is wholly owned by Bamei Li, mother of Michael Minhong Yu. The registered address of Tigerstep Developments Limited is P.O. Box 957, Offshore Incorporation Centre, Road Town, Tortola, the British Virgin Islands.</w:t>
      </w:r>
    </w:p>
    <w:p>
      <w:pPr>
        <w:spacing w:after="0" w:line="1" w:lineRule="exact"/>
        <w:rPr>
          <w:rFonts w:ascii="Arial" w:cs="Arial" w:eastAsia="Arial" w:hAnsi="Arial"/>
          <w:sz w:val="16"/>
          <w:szCs w:val="16"/>
          <w:color w:val="auto"/>
        </w:rPr>
      </w:pPr>
    </w:p>
    <w:p>
      <w:pPr>
        <w:ind w:left="340" w:right="140" w:hanging="332"/>
        <w:spacing w:after="0" w:line="256"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11,102,144 common shares issuable upon conversion of the same number of preferred shares and 9,905,889 common shares held by Tiger Global Private Investment Partners II, L.P. and 8,967 common shares issuable upon conversion of the same number of preferred shares and 21,339 common shares held by Tiger Global II, L.P. The registered address of Tiger Global Private Investment Partners II, L.P. and Tiger Global II, L.P. is P.O. Box 957, Offshore Incorporation Centre, Road Town, Tortola, the British Virgin Islands.</w:t>
      </w:r>
    </w:p>
    <w:p>
      <w:pPr>
        <w:spacing w:after="0" w:line="48" w:lineRule="exact"/>
        <w:rPr>
          <w:rFonts w:ascii="Arial" w:cs="Arial" w:eastAsia="Arial" w:hAnsi="Arial"/>
          <w:sz w:val="18"/>
          <w:szCs w:val="18"/>
          <w:color w:val="auto"/>
        </w:rPr>
      </w:pPr>
    </w:p>
    <w:p>
      <w:pPr>
        <w:jc w:val="both"/>
        <w:ind w:left="340" w:right="180" w:hanging="332"/>
        <w:spacing w:after="0" w:line="259"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Capital River Group Limited, a British Virgin Islands company, holds common shares in trust for approximately 300 employees of our company. This trust arrangement will automatically terminate upon the completion of this offering. The registered address of Capital Group Limited is P.O. Box 957, Offshore Incorporation Centre, Road Town, Tortola, the British Virgin Islands.</w:t>
      </w:r>
    </w:p>
    <w:p>
      <w:pPr>
        <w:spacing w:after="0" w:line="45" w:lineRule="exact"/>
        <w:rPr>
          <w:rFonts w:ascii="Arial" w:cs="Arial" w:eastAsia="Arial" w:hAnsi="Arial"/>
          <w:sz w:val="18"/>
          <w:szCs w:val="18"/>
          <w:color w:val="auto"/>
        </w:rPr>
      </w:pPr>
    </w:p>
    <w:p>
      <w:pPr>
        <w:ind w:left="340" w:right="520" w:hanging="332"/>
        <w:spacing w:after="0" w:line="325"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Peak Idea International Limited, a company incorporated in British Virgin Islands, is affiliated with Xiaoping Xu. The registered address of Peak Idea International Limited is P.O. Box 957, Offshore Incorporation Centre, Road Town, Tortola, the British Virgin Islands.</w:t>
      </w:r>
    </w:p>
    <w:p>
      <w:pPr>
        <w:spacing w:after="0" w:line="1" w:lineRule="exact"/>
        <w:rPr>
          <w:rFonts w:ascii="Arial" w:cs="Arial" w:eastAsia="Arial" w:hAnsi="Arial"/>
          <w:sz w:val="16"/>
          <w:szCs w:val="16"/>
          <w:color w:val="auto"/>
        </w:rPr>
      </w:pPr>
    </w:p>
    <w:p>
      <w:pPr>
        <w:ind w:left="340" w:right="360" w:hanging="332"/>
        <w:spacing w:after="0" w:line="268"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Forthright Trading Limited is a company incorporated in the British Virgin Islands controlled by Zihua Du. The registered address of Forthright Trading Limited is P.O. Box 957, Offshore Incorporation Centre, Road Town, Tortola, the British Virgin Islands.</w:t>
      </w:r>
    </w:p>
    <w:p>
      <w:pPr>
        <w:spacing w:after="0" w:line="3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of the date of this prospectus, none of our outstanding common shares and preferred shares are held of record by any persons in the United States. None of our shareholders has informed us that it is affiliated with a registered broker-dealer, or is in the business of underwriting securities.</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None of our existing shareholders has different voting rights from other shareholders after the closing of this offering. We are not aware of any arrangement that may, at a subsequent date, result in a change of control of our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RELATED PARTY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New Oriental China and Its Subsidiaries and Shareholders</w:t>
      </w:r>
    </w:p>
    <w:p>
      <w:pPr>
        <w:spacing w:after="0" w:line="16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PRC laws and regulations currently require any foreign entity that invests in the education business in China to be an educational institution with relevant experience in providing education outside of China. Our Cayman Islands holding company is not an educational institution and does not provide educational services. Accordingly, our whole owned subsidiaries in China, which are considered foreign-invested, are currently ineligible to apply for the required education licenses and permits in China. In addition, PRC laws and regulations prohibit foreign ownership of primary and middle schools for students in grades one to nine in China. We conduct our education business in China through contractual arrangements with New Oriental China and its subsidiaries and shareholders. New Oriental China is our consolidated affiliated entity directly owned by our founders and their respective affiliates, as applicable. New Oriental China’s subsidiaries hold the requisite licenses and permits necessary to conduct our education business and operate our schools, learning centers and physical bookstores as well as online education business in China. We have been and are expected to continue to be dependent on New Oriental China and its subsidiaries to operate our education business until we qualify for direct ownership of an education business in China. We have entered into contractual arrangements with New Oriental China and its subsidiaries, pursuant to which we, through our wholly owned subsidiaries in China, provide exclusive teaching support, new enrollment system support and other services to New Oriental China and its subsidiaries in exchange for payments from them. In addition, we have entered into agreements with New Oriental China and each of the shareholders of New Oriental China which provide us with the substantial ability to control New Oriental China and its existing and future subsidiaries. These agreements are summarized in the following paragraphs.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Equity Pledge Agreement. </w:t>
      </w:r>
      <w:r>
        <w:rPr>
          <w:rFonts w:ascii="Arial" w:cs="Arial" w:eastAsia="Arial" w:hAnsi="Arial"/>
          <w:sz w:val="16"/>
          <w:szCs w:val="16"/>
          <w:color w:val="auto"/>
        </w:rPr>
        <w:t>Pursuant to the equity pledge agreements dated as of May 25, 2006 among New Oriental China, the shareholders of New</w:t>
      </w:r>
      <w:r>
        <w:rPr>
          <w:rFonts w:ascii="Arial" w:cs="Arial" w:eastAsia="Arial" w:hAnsi="Arial"/>
          <w:sz w:val="16"/>
          <w:szCs w:val="16"/>
          <w:i w:val="1"/>
          <w:iCs w:val="1"/>
          <w:color w:val="auto"/>
        </w:rPr>
        <w:t xml:space="preserve"> </w:t>
      </w:r>
      <w:r>
        <w:rPr>
          <w:rFonts w:ascii="Arial" w:cs="Arial" w:eastAsia="Arial" w:hAnsi="Arial"/>
          <w:sz w:val="16"/>
          <w:szCs w:val="16"/>
          <w:color w:val="auto"/>
        </w:rPr>
        <w:t>Oriental China, Beijing Hewstone and Beijing Decision, each shareholder agreed to pledge his or its equity interests of New Oriental China to Beijing Hewstone and Beijing Decision to secure the performance of New Oriental China’s or its subsidiaries’ obligations under the relevant principal agreements including certain teaching support agreements, new enrollment system development service agreements, website development and use agreements, and trademark license agreements, and each of them has agreed not to transfer, sell, pledge, dispose of or otherwise create any encumbrance on his or its equity interest in New Oriental China without the prior written consent of Beijing Decision.</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Exclusive Option Agreement. </w:t>
      </w:r>
      <w:r>
        <w:rPr>
          <w:rFonts w:ascii="Arial" w:cs="Arial" w:eastAsia="Arial" w:hAnsi="Arial"/>
          <w:sz w:val="18"/>
          <w:szCs w:val="18"/>
          <w:color w:val="auto"/>
        </w:rPr>
        <w:t>Pursuant to the exclusive option agreements entered into on various dates, as amended on May 25, 2006, among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New Oriental China and the shareholders of New Oriental China, the shareholders of New Oriental China are obligated to sell to us, and we have an exclusive, irrevocable and unconditional right to purchase, or cause our designated party to purchase, from such shareholders, in our sole discretion, part or of all of these shareholders’ equity interests in New Oriental China when and to the extent that applicable PRC law permits us to own part or all of such equity interests in New Oriental China. The purchase price to be paid by us will be the minimum amount of consideration permitted by applicable PRC law at the time when such share transfer occurs.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Trademark Transfer Agreement. </w:t>
      </w:r>
      <w:r>
        <w:rPr>
          <w:rFonts w:ascii="Arial" w:cs="Arial" w:eastAsia="Arial" w:hAnsi="Arial"/>
          <w:sz w:val="16"/>
          <w:szCs w:val="16"/>
          <w:color w:val="auto"/>
        </w:rPr>
        <w:t>Pursuant to the trademark transfer agreement dated as of December 12, 2004 between New Oriental China and us, New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Oriental China agreed to transfer its trademarks </w:t>
      </w:r>
      <w:r>
        <w:rPr>
          <w:sz w:val="1"/>
          <w:szCs w:val="1"/>
          <w:color w:val="auto"/>
        </w:rPr>
        <w:drawing>
          <wp:inline distT="0" distB="0" distL="0" distR="0">
            <wp:extent cx="626110" cy="9461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6110" cy="94615"/>
                    </a:xfrm>
                    <a:prstGeom prst="rect">
                      <a:avLst/>
                    </a:prstGeom>
                    <a:noFill/>
                    <a:ln>
                      <a:noFill/>
                    </a:ln>
                  </pic:spPr>
                </pic:pic>
              </a:graphicData>
            </a:graphic>
          </wp:inline>
        </w:drawing>
      </w:r>
      <w:r>
        <w:rPr>
          <w:rFonts w:ascii="Arial" w:cs="Arial" w:eastAsia="Arial" w:hAnsi="Arial"/>
          <w:sz w:val="16"/>
          <w:szCs w:val="16"/>
          <w:color w:val="auto"/>
        </w:rPr>
        <w:t xml:space="preserve"> and “ </w:t>
      </w:r>
      <w:r>
        <w:rPr>
          <w:sz w:val="1"/>
          <w:szCs w:val="1"/>
          <w:color w:val="auto"/>
        </w:rPr>
        <w:drawing>
          <wp:inline distT="0" distB="0" distL="0" distR="0">
            <wp:extent cx="300355" cy="9461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00355" cy="94615"/>
                    </a:xfrm>
                    <a:prstGeom prst="rect">
                      <a:avLst/>
                    </a:prstGeom>
                    <a:noFill/>
                    <a:ln>
                      <a:noFill/>
                    </a:ln>
                  </pic:spPr>
                </pic:pic>
              </a:graphicData>
            </a:graphic>
          </wp:inline>
        </w:drawing>
      </w:r>
      <w:r>
        <w:rPr>
          <w:rFonts w:ascii="Arial" w:cs="Arial" w:eastAsia="Arial" w:hAnsi="Arial"/>
          <w:sz w:val="16"/>
          <w:szCs w:val="16"/>
          <w:color w:val="auto"/>
        </w:rPr>
        <w:t>” to us for a consideration of US$50,000 to be paid in five equal annual installments.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such trademark transfer, we have an exclusive right to own, use, transfer, license, benefit from or otherwise dispose of the foregoing trademark.</w:t>
      </w:r>
    </w:p>
    <w:p>
      <w:pPr>
        <w:spacing w:after="0" w:line="17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Trademark License Agreements. </w:t>
      </w:r>
      <w:r>
        <w:rPr>
          <w:rFonts w:ascii="Arial" w:cs="Arial" w:eastAsia="Arial" w:hAnsi="Arial"/>
          <w:sz w:val="16"/>
          <w:szCs w:val="16"/>
          <w:color w:val="auto"/>
        </w:rPr>
        <w:t>Pursuant to (1) the trademark license agreement dated May 13, 2006 between us as the licensor and New Oriental China as</w:t>
      </w:r>
      <w:r>
        <w:rPr>
          <w:rFonts w:ascii="Arial" w:cs="Arial" w:eastAsia="Arial" w:hAnsi="Arial"/>
          <w:sz w:val="16"/>
          <w:szCs w:val="16"/>
          <w:i w:val="1"/>
          <w:iCs w:val="1"/>
          <w:color w:val="auto"/>
        </w:rPr>
        <w:t xml:space="preserve"> </w:t>
      </w:r>
      <w:r>
        <w:rPr>
          <w:rFonts w:ascii="Arial" w:cs="Arial" w:eastAsia="Arial" w:hAnsi="Arial"/>
          <w:sz w:val="16"/>
          <w:szCs w:val="16"/>
          <w:color w:val="auto"/>
        </w:rPr>
        <w:t>the licensee, and (2) the trademark license agreement dated May 13, 2006 between us as the licensor and Beijing Hewstone as the licensee, we have licensed our trademarks to New Oriental China and Beijing Hewstone for their use in China. We have also allowed Hewstone to enter into a sub-license agreement with each subsidiary of New Oriental China and each New Oriental school pursuant to which each of these subsidiaries and schools may use our trademarks in China by paying certain licensing fees. Beijing Hewstone is authorized to collect the licensing fees from each sub-licensee and handle other related matters. The term of each of these license and sublicense agreements is ten years from its signing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 xml:space="preserve">Website Development and Use Agreements. </w:t>
      </w:r>
      <w:r>
        <w:rPr>
          <w:rFonts w:ascii="Arial" w:cs="Arial" w:eastAsia="Arial" w:hAnsi="Arial"/>
          <w:sz w:val="16"/>
          <w:szCs w:val="16"/>
          <w:color w:val="auto"/>
        </w:rPr>
        <w:t>Pursuant to the website development and use agreements dated as of April 25, 2005 and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supplements entered into on January 1, 2006 between Beijing Decision and certain New Oriental schools and subsidiaries of New Oriental China, Beijing Decision agreed to provide website development and regular system maintenance services to each of these New Oriental schools and each of these subsidiaries for an annual fee calculated based upon the annual revenues of the school and the subsidiary, respectively, subject to quarterly adjustments. Beijing Decision agreed to design and create a web platform based upon the request of the school and the subsidiary, as the case may be, each of which has the exclusive right to use, benefit from or otherwise dispose of the web platform. Each of these agreements and corresponding supplements has a term of five years from the signing date of the supplement.</w:t>
      </w:r>
    </w:p>
    <w:p>
      <w:pPr>
        <w:spacing w:after="0" w:line="10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i w:val="1"/>
          <w:iCs w:val="1"/>
          <w:color w:val="auto"/>
        </w:rPr>
        <w:t xml:space="preserve">Teaching Support Agreements. </w:t>
      </w:r>
      <w:r>
        <w:rPr>
          <w:rFonts w:ascii="Arial" w:cs="Arial" w:eastAsia="Arial" w:hAnsi="Arial"/>
          <w:sz w:val="15"/>
          <w:szCs w:val="15"/>
          <w:color w:val="auto"/>
        </w:rPr>
        <w:t>Pursuant to the teaching support agreements dated as of April 25, 2005 and their respective supplements entered into on</w:t>
      </w:r>
      <w:r>
        <w:rPr>
          <w:rFonts w:ascii="Arial" w:cs="Arial" w:eastAsia="Arial" w:hAnsi="Arial"/>
          <w:sz w:val="15"/>
          <w:szCs w:val="15"/>
          <w:i w:val="1"/>
          <w:iCs w:val="1"/>
          <w:color w:val="auto"/>
        </w:rPr>
        <w:t xml:space="preserve"> </w:t>
      </w:r>
      <w:r>
        <w:rPr>
          <w:rFonts w:ascii="Arial" w:cs="Arial" w:eastAsia="Arial" w:hAnsi="Arial"/>
          <w:sz w:val="15"/>
          <w:szCs w:val="15"/>
          <w:color w:val="auto"/>
        </w:rPr>
        <w:t>January 1, 2006 between Beijing Decision and certain New Oriental schools, Beijing Decision agreed to provide exclusive teaching support services to each of these New Oriental schools for an annual fee based on the school’s revenues, subject to quarterly adjustments. The teaching support services include developing a curriculum for the school. Each of these agreements and their corresponding supplements has a term of five years from the signing date of the supplement.</w:t>
      </w:r>
    </w:p>
    <w:p>
      <w:pPr>
        <w:spacing w:after="0" w:line="84"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i w:val="1"/>
          <w:iCs w:val="1"/>
          <w:color w:val="auto"/>
        </w:rPr>
        <w:t xml:space="preserve">New Enrollment System Development Service Agreements. </w:t>
      </w:r>
      <w:r>
        <w:rPr>
          <w:rFonts w:ascii="Arial" w:cs="Arial" w:eastAsia="Arial" w:hAnsi="Arial"/>
          <w:sz w:val="15"/>
          <w:szCs w:val="15"/>
          <w:color w:val="auto"/>
        </w:rPr>
        <w:t>Pursuant to the new enrollment system development service agreements dated as of April 25,</w:t>
      </w:r>
      <w:r>
        <w:rPr>
          <w:rFonts w:ascii="Arial" w:cs="Arial" w:eastAsia="Arial" w:hAnsi="Arial"/>
          <w:sz w:val="15"/>
          <w:szCs w:val="15"/>
          <w:i w:val="1"/>
          <w:iCs w:val="1"/>
          <w:color w:val="auto"/>
        </w:rPr>
        <w:t xml:space="preserve"> </w:t>
      </w:r>
      <w:r>
        <w:rPr>
          <w:rFonts w:ascii="Arial" w:cs="Arial" w:eastAsia="Arial" w:hAnsi="Arial"/>
          <w:sz w:val="15"/>
          <w:szCs w:val="15"/>
          <w:color w:val="auto"/>
        </w:rPr>
        <w:t>2005 and their respective supplements entered into on January 1, 2006 between Beijing Decision and certain New Oriental schools, Beijing Decision agreed to provide new enrollment system development and regular maintenance services to each of these New Oriental schools for a fee calculated based upon the number of new enrollments each month, subject to quarterly adjustments. The new enrollment system in these agreements refers to the new enrollment system designed and created by Beijing Decision. Each of these agreements and corresponding supplements has a term of five years from the signing of the supplement.</w:t>
      </w:r>
    </w:p>
    <w:p>
      <w:pPr>
        <w:spacing w:after="0" w:line="8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Sale of Educational Software. </w:t>
      </w:r>
      <w:r>
        <w:rPr>
          <w:rFonts w:ascii="Arial" w:cs="Arial" w:eastAsia="Arial" w:hAnsi="Arial"/>
          <w:sz w:val="18"/>
          <w:szCs w:val="18"/>
          <w:color w:val="auto"/>
        </w:rPr>
        <w:t>Since 2005, Beijing Hewstone has been selling various self-developed educational software to various New Oriental Schools,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 turn included as part of the course materials for students enrolling in relevant courses. The sales are conducted at mutually agreed-upon prices without any written agreement between the parties.</w:t>
      </w:r>
    </w:p>
    <w:p>
      <w:pPr>
        <w:spacing w:after="0" w:line="12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i w:val="1"/>
          <w:iCs w:val="1"/>
          <w:color w:val="auto"/>
        </w:rPr>
        <w:t xml:space="preserve">Domain Name Transfer Agreement. </w:t>
      </w:r>
      <w:r>
        <w:rPr>
          <w:rFonts w:ascii="Arial" w:cs="Arial" w:eastAsia="Arial" w:hAnsi="Arial"/>
          <w:sz w:val="15"/>
          <w:szCs w:val="15"/>
          <w:color w:val="auto"/>
        </w:rPr>
        <w:t>Pursuant to the domain name transfer agreement dated as of December 12, 2004 between us and certain New Oriental</w:t>
      </w:r>
      <w:r>
        <w:rPr>
          <w:rFonts w:ascii="Arial" w:cs="Arial" w:eastAsia="Arial" w:hAnsi="Arial"/>
          <w:sz w:val="15"/>
          <w:szCs w:val="15"/>
          <w:i w:val="1"/>
          <w:iCs w:val="1"/>
          <w:color w:val="auto"/>
        </w:rPr>
        <w:t xml:space="preserve"> </w:t>
      </w:r>
      <w:r>
        <w:rPr>
          <w:rFonts w:ascii="Arial" w:cs="Arial" w:eastAsia="Arial" w:hAnsi="Arial"/>
          <w:sz w:val="15"/>
          <w:szCs w:val="15"/>
          <w:color w:val="auto"/>
        </w:rPr>
        <w:t>schools and subsidiaries, these schools and subsidiaries agreed to transfer their domain names (e.g. www.neworiental.org) to us for a nominal consideration. Following such transfer, we have an exclusive right to own, use, transfer, license, benefit from or otherwise dispose of the foregoing domain name.</w:t>
      </w:r>
    </w:p>
    <w:p>
      <w:pPr>
        <w:spacing w:after="0" w:line="7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Building Lease. </w:t>
      </w:r>
      <w:r>
        <w:rPr>
          <w:rFonts w:ascii="Arial" w:cs="Arial" w:eastAsia="Arial" w:hAnsi="Arial"/>
          <w:sz w:val="18"/>
          <w:szCs w:val="18"/>
          <w:color w:val="auto"/>
        </w:rPr>
        <w:t>Pursuant to the building lease dated as of July 1, 2005 between the Beijing Judgment and Tianjin New Oriental School, Beijing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agreed to lease its building located in Nankai District, Tianjin to Tianjin New Oriental School for the school’s use in carrying out its language training and teaching business. The total annual rent paid by Tianjin New Oriental School to Beijing Judgment is approximately RMB1.8 million (US$0.2 million). The term of this lease is five years from the date thereof.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1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December 2004, we issued an aggregate of 11,111,111 preferred shares to the entities affiliated with Tiger Global in a private placement at a price per share equal to US$2.025 per share for an aggregate purchase price of approximately US$22.5 million. The price per share was determined through our arm’s-length transaction with Tiger Global. Holders of our preferred shares are entitled to vote on an “as converted” basis together with the holders of common shares. Each preferred share will automatically convert into one common share upon completion of this offering.</w:t>
      </w:r>
    </w:p>
    <w:p>
      <w:pPr>
        <w:spacing w:after="0" w:line="9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connection with our issuance and sale of preferred shares in December 2004, we entered into an investors’ rights agreement, right of first refusal and co-sale agreement and voting agreement with Tiger Global and the holders of our common shares. The investors’ rights agreement was amended and restated in May 2005.</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Investors’ Rights Agreement. </w:t>
      </w:r>
      <w:r>
        <w:rPr>
          <w:rFonts w:ascii="Arial" w:cs="Arial" w:eastAsia="Arial" w:hAnsi="Arial"/>
          <w:sz w:val="16"/>
          <w:szCs w:val="16"/>
          <w:color w:val="auto"/>
        </w:rPr>
        <w:t>We have granted Tiger Global and certain holders of our common shares customary registration rights, including demand and</w:t>
      </w:r>
      <w:r>
        <w:rPr>
          <w:rFonts w:ascii="Arial" w:cs="Arial" w:eastAsia="Arial" w:hAnsi="Arial"/>
          <w:sz w:val="16"/>
          <w:szCs w:val="16"/>
          <w:i w:val="1"/>
          <w:iCs w:val="1"/>
          <w:color w:val="auto"/>
        </w:rPr>
        <w:t xml:space="preserve"> </w:t>
      </w:r>
      <w:r>
        <w:rPr>
          <w:rFonts w:ascii="Arial" w:cs="Arial" w:eastAsia="Arial" w:hAnsi="Arial"/>
          <w:sz w:val="16"/>
          <w:szCs w:val="16"/>
          <w:color w:val="auto"/>
        </w:rPr>
        <w:t>piggyback registration rights and Form F-3 registration rights. Holders of our common shares with registration rights include Tigerstep, a company owned by a relative of our chairman and chief executive officer, and Podium International Group, Peak Idea International Limited, Easebright International Limited and Fame Gain Investments Limited, each of which is affiliated with one of our former directors. A total of 99,704,285 common shares of our company are covered by registration rights, assuming all of the outstanding preferred shares are converted into the same number of common shares. For a detailed description of these rights, see “Description of Share Capital—Registration Rights.” In addition, the investors’ rights agreement grants Tiger Global preemptive rights with respect to any issuance of equity securities issued by us, which provision will terminate upon the completion of this offering.</w:t>
      </w:r>
    </w:p>
    <w:p>
      <w:pPr>
        <w:spacing w:after="0" w:line="10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i w:val="1"/>
          <w:iCs w:val="1"/>
          <w:color w:val="auto"/>
        </w:rPr>
        <w:t xml:space="preserve">Right of First Refusal and Co-Sale Agreement. </w:t>
      </w:r>
      <w:r>
        <w:rPr>
          <w:rFonts w:ascii="Arial" w:cs="Arial" w:eastAsia="Arial" w:hAnsi="Arial"/>
          <w:sz w:val="15"/>
          <w:szCs w:val="15"/>
          <w:color w:val="auto"/>
        </w:rPr>
        <w:t>We and certain of our shareholders each have certain rights of first refusal and tag-along rights with respect</w:t>
      </w:r>
      <w:r>
        <w:rPr>
          <w:rFonts w:ascii="Arial" w:cs="Arial" w:eastAsia="Arial" w:hAnsi="Arial"/>
          <w:sz w:val="15"/>
          <w:szCs w:val="15"/>
          <w:i w:val="1"/>
          <w:iCs w:val="1"/>
          <w:color w:val="auto"/>
        </w:rPr>
        <w:t xml:space="preserve"> </w:t>
      </w:r>
      <w:r>
        <w:rPr>
          <w:rFonts w:ascii="Arial" w:cs="Arial" w:eastAsia="Arial" w:hAnsi="Arial"/>
          <w:sz w:val="15"/>
          <w:szCs w:val="15"/>
          <w:color w:val="auto"/>
        </w:rPr>
        <w:t>to any proposed share transfers by any of our shareholders. This right of first refusal and co-sale agreement will terminate upon the completion of this offering.</w:t>
      </w:r>
    </w:p>
    <w:p>
      <w:pPr>
        <w:spacing w:after="0" w:line="4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Voting Agreement. </w:t>
      </w:r>
      <w:r>
        <w:rPr>
          <w:rFonts w:ascii="Arial" w:cs="Arial" w:eastAsia="Arial" w:hAnsi="Arial"/>
          <w:sz w:val="18"/>
          <w:szCs w:val="18"/>
          <w:color w:val="auto"/>
        </w:rPr>
        <w:t>The voting agreement provides that our board of directors will consist of no more than nine directors, including one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nominated by Tiger Global so long as it continues to hold at least 50% of the preferred shares. This voting agreement will terminate upon the completion of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Certain Related Parties</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engaged Beijing Beizhi Cultural Education Co., Ltd., or Beijing Beizhi, a corporation controlled by our director Mr. Qiang Wang, for certain consulting services relating to educational management whereby we paid Beijing Beizhi consulting fees in the amount of RMB2.4 million for the fiscal year ended May 31, 2004.</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December 2004, we entered into a share transfer agreement with our director Mr. Yongqiang Qian to transfer our 56.2% equity interest in Liandong Weiye, a former subsidiary of New Oriental China engaging primarily in the wireless application protocol business, to Mr. Qian for RMB 5.1 million (US$0.6 million) in cash. This transfer was effected in order for us to focus our core business of educational services. The disposal was completed in March 2005, when control of Liandong Weiye was passed to Mr. Qian.</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Beijing Century Friendship Education Investment Co., Ltd., or Beijing Century, a corporation controlled by our Chairman and Chief Executive Officer Mr. Michael Minhong Yu, made loans to us in the past in an aggregate amount of RMB10.0 million (US$1.2 million) in 2004 and RMB785,000 (US$97,894) in 2005. The loans were used to fund the establishment of a new school and our operational cash needs. The loans were unsecured, non-interest bearing and payable on demand. We repaid all the loans in full by May 31,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“Management—Share Incentives.”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and the Companies Law (2004 Revision) of the Cayman Islands, which is referred to as the Companies Law below.</w:t>
      </w:r>
    </w:p>
    <w:p>
      <w:pPr>
        <w:spacing w:after="0" w:line="118"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As of the date hereof, our authorized share capital consists of 150,000,000 common shares, with a par value of US$0.01 each and 11,111,111 preferred shares, with a par value of US$0.01 each. As of the date hereof, there are 100,000,000 common shares issued and outstanding and 11,111,111 preferred shares issued and outstanding. All of our issued and outstanding preferred shares will automatically convert into 11,111,111 common shares immediately prior to the closing of this offering.</w:t>
      </w:r>
    </w:p>
    <w:p>
      <w:pPr>
        <w:spacing w:after="0" w:line="13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will adopt an amended and restated memorandum and articles of association, which will replace the current memorandum and articles of association in its entirety upon the closing of this offering. The following are summaries of material provisions of our proposed amended and restated memorandum and articles of association and the Companies Law insofar as they relate to the material terms of our common shares that we expect will become effective upon the closing of this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6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All of our outstanding common shares are fully paid and non-assessable. Certificates representing the common shares are issued in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form. Our shareholders who are non-residents of the Cayman Islands may freely hold and vote their shares.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holders of our common shares are entitled to such dividends as may be declared by our board of directors subject to the Companies Law.</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common share is entitled to one vote on all matters upon which the common shares are entitled to vote. Voting at any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is by show of hands unless a poll is demanded. A poll may be demanded by our chairman or any shareholder holding at least 10% of the shares given a right to vote at the meeting, present in person or by proxy.</w:t>
      </w:r>
    </w:p>
    <w:p>
      <w:pPr>
        <w:spacing w:after="0" w:line="12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 quorum required for a meeting of shareholders consists of at least two shareholders present in person or by proxy or, if a corporation or other non-natural person, by its duly authorized representative, which hold in aggregate at least one third of our voting share capital. Shareholders’ meetings are held annually and may be convened by our board of directors on its own initiative or upon a request to the directors by shareholders holding in aggregate at least 10% of our voting share capital. Advance notice of at least seven days is required for the convening of our annual general meeting and other shareholders’ meetings.</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attaching to the common shares cast in a general meeting, while a special resolution requires the affirmative vote of no less than two-thirds of the votes cast attaching to the common shares. A special resolution is required for important matters such as a change of name. Holders of the common shares may effect certain changes by ordinary resolution, including increasing the amount of our authorized share capital, consolidating and dividing all or any of our share capital into shares of a larger amount than our existing share capital, and cancelling any shares.</w:t>
      </w:r>
    </w:p>
    <w:p>
      <w:pPr>
        <w:spacing w:after="0" w:line="12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i w:val="1"/>
          <w:iCs w:val="1"/>
          <w:color w:val="auto"/>
        </w:rPr>
        <w:t>Transfer of Shares</w:t>
      </w:r>
      <w:r>
        <w:rPr>
          <w:rFonts w:ascii="Arial" w:cs="Arial" w:eastAsia="Arial" w:hAnsi="Arial"/>
          <w:sz w:val="16"/>
          <w:szCs w:val="16"/>
          <w:color w:val="auto"/>
        </w:rPr>
        <w:t>. Subject to the restrictions of our memorandum and articles of association, as applicable, any of our shareholders may transfer all or any</w:t>
      </w:r>
      <w:r>
        <w:rPr>
          <w:rFonts w:ascii="Arial" w:cs="Arial" w:eastAsia="Arial" w:hAnsi="Arial"/>
          <w:sz w:val="16"/>
          <w:szCs w:val="16"/>
          <w:i w:val="1"/>
          <w:iCs w:val="1"/>
          <w:color w:val="auto"/>
        </w:rPr>
        <w:t xml:space="preserve"> </w:t>
      </w:r>
      <w:r>
        <w:rPr>
          <w:rFonts w:ascii="Arial" w:cs="Arial" w:eastAsia="Arial" w:hAnsi="Arial"/>
          <w:sz w:val="16"/>
          <w:szCs w:val="16"/>
          <w:color w:val="auto"/>
        </w:rPr>
        <w:t>of his or her common shares by an instrument of transfer in the usual or common form or any other form approved by our board.</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board of directors may, in its sole discretion, decline to register any transfer of any common share which is not fully paid up or on which we have a lien. Our directors may also decline to register any transfer of any common share unless (a) the instrument of transfer is lodged with us, accompanied by the certificate for the common shares to which it relates and such other evidence as our board of directors may reasonably require to show the right of the transferor to make the transfer; (b) the instrument of transfer is in respect of only one class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 common shares; (c) the instrument of transfer is properly stamped, if required; (d) in the case of a transfer to joint holders, the number of joint holders to whom the common share is to be transferred does not exceed four; (e) the shares conceded are free of any lien in favor of us; or (f) a fee of such maximum sum as US$5.00 may determine to be payable, or such lesser sum as our board of directors may from time to time require, is paid to us in respect thereof.</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our directors refuse to register a transfer they shall,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spacing w:after="0" w:line="99"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i w:val="1"/>
          <w:iCs w:val="1"/>
          <w:color w:val="auto"/>
        </w:rPr>
        <w:t>Liquidation</w:t>
      </w:r>
      <w:r>
        <w:rPr>
          <w:rFonts w:ascii="Arial" w:cs="Arial" w:eastAsia="Arial" w:hAnsi="Arial"/>
          <w:sz w:val="15"/>
          <w:szCs w:val="15"/>
          <w:color w:val="auto"/>
        </w:rPr>
        <w:t>. On a return of capital on winding up or otherwise (other than on conversion, redemption or purchase of shares), assets available for</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among the holders of common shares shall be distributed among the holders of the common shares on a pro rata basis. If our assets available for distribution are insufficient to repay all of the paid-up capital, the assets will be distributed so that the losses are borne by our shareholders proportionately.</w:t>
      </w:r>
    </w:p>
    <w:p>
      <w:pPr>
        <w:spacing w:after="0" w:line="7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and place of payment. The shares that have been called upon and remain unpaid on the specified time are subject to forfeiture.</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Redemption of Shares</w:t>
      </w:r>
      <w:r>
        <w:rPr>
          <w:rFonts w:ascii="Arial" w:cs="Arial" w:eastAsia="Arial" w:hAnsi="Arial"/>
          <w:sz w:val="18"/>
          <w:szCs w:val="18"/>
          <w:color w:val="auto"/>
        </w:rPr>
        <w:t>. Subject to the provisions of the Companies Law, we may issue shares on terms that are subject to redemption, at our option or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of the holders, on such terms and in such manner as may be determined by special resolution.</w:t>
      </w:r>
    </w:p>
    <w:p>
      <w:pPr>
        <w:spacing w:after="0" w:line="11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All or any of the special rights attached to any class of shares may, subject to the provisions of the Companies Law, be</w:t>
      </w:r>
      <w:r>
        <w:rPr>
          <w:rFonts w:ascii="Arial" w:cs="Arial" w:eastAsia="Arial" w:hAnsi="Arial"/>
          <w:sz w:val="18"/>
          <w:szCs w:val="18"/>
          <w:i w:val="1"/>
          <w:iCs w:val="1"/>
          <w:color w:val="auto"/>
        </w:rPr>
        <w:t xml:space="preserve"> </w:t>
      </w:r>
      <w:r>
        <w:rPr>
          <w:rFonts w:ascii="Arial" w:cs="Arial" w:eastAsia="Arial" w:hAnsi="Arial"/>
          <w:sz w:val="18"/>
          <w:szCs w:val="18"/>
          <w:color w:val="auto"/>
        </w:rPr>
        <w:t>varied either with the written consent of the holders of three-fourths of the issued shares of that class or with the sanction of a special resolution passed at a general meeting of the holders of the shares of that class.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Inspection of Books and Records</w:t>
      </w:r>
      <w:r>
        <w:rPr>
          <w:rFonts w:ascii="Arial" w:cs="Arial" w:eastAsia="Arial" w:hAnsi="Arial"/>
          <w:sz w:val="18"/>
          <w:szCs w:val="18"/>
          <w:color w:val="auto"/>
        </w:rPr>
        <w:t>. Holders of our common shares will have no general right under Cayman Islands law to inspect or obtain copies of our list</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shareholders or our corporate records. However, we will provide our shareholders with annual audited financial statements. See “Where You Can Find Additional Information.”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Limitations on the Right to Own Shares</w:t>
      </w:r>
      <w:r>
        <w:rPr>
          <w:rFonts w:ascii="Arial" w:cs="Arial" w:eastAsia="Arial" w:hAnsi="Arial"/>
          <w:sz w:val="18"/>
          <w:szCs w:val="18"/>
          <w:color w:val="auto"/>
        </w:rPr>
        <w:t>. There are no limitations on the right to own our shares.</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Disclosure of Shareholder Ownership</w:t>
      </w:r>
      <w:r>
        <w:rPr>
          <w:rFonts w:ascii="Arial" w:cs="Arial" w:eastAsia="Arial" w:hAnsi="Arial"/>
          <w:sz w:val="18"/>
          <w:szCs w:val="18"/>
          <w:color w:val="auto"/>
        </w:rPr>
        <w:t>. There are no provisions in our proposed amended and restated memorandum and articles of association governing</w:t>
      </w:r>
      <w:r>
        <w:rPr>
          <w:rFonts w:ascii="Arial" w:cs="Arial" w:eastAsia="Arial" w:hAnsi="Arial"/>
          <w:sz w:val="18"/>
          <w:szCs w:val="18"/>
          <w:i w:val="1"/>
          <w:iCs w:val="1"/>
          <w:color w:val="auto"/>
        </w:rPr>
        <w:t xml:space="preserve"> </w:t>
      </w:r>
      <w:r>
        <w:rPr>
          <w:rFonts w:ascii="Arial" w:cs="Arial" w:eastAsia="Arial" w:hAnsi="Arial"/>
          <w:sz w:val="18"/>
          <w:szCs w:val="18"/>
          <w:color w:val="auto"/>
        </w:rPr>
        <w:t>the ownership threshold above which shareholder ownership must be disclosed.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securities issuances by us and share transfers among our existing shareholders during the past three years.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Common Shares</w:t>
      </w:r>
      <w:r>
        <w:rPr>
          <w:rFonts w:ascii="Arial" w:cs="Arial" w:eastAsia="Arial" w:hAnsi="Arial"/>
          <w:sz w:val="18"/>
          <w:szCs w:val="18"/>
          <w:color w:val="auto"/>
        </w:rPr>
        <w:t>. In December 2004, in connection with our corporate restructuring and the incorporation of our offshore holding company, we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total of 100,000,000 common shares to the beneficial owners of New Oriental China based on their pro rata interests in New Oriental China immediately prior to the restructuring.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Preferred Shares and Common Shares to Tiger Technology</w:t>
      </w:r>
      <w:r>
        <w:rPr>
          <w:rFonts w:ascii="Arial" w:cs="Arial" w:eastAsia="Arial" w:hAnsi="Arial"/>
          <w:sz w:val="16"/>
          <w:szCs w:val="16"/>
          <w:color w:val="auto"/>
        </w:rPr>
        <w:t>. In December 2004, we issued in a private placement an aggregate of 11,111,111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at a price of US$2.025 per share to investment funds affiliated with Tiger Technology. Each preferred share will automatically convert into one common share immediately prior to the closing of this offering. Concurrently with the private placement of preferred shares, an existing shareholder of our company sold 5,184,164 common shares at a price of US$1.8116 per share to investment funds affiliated with Tiger Technology. In May 2005, certain shareholders sold an aggregate of 4,743,064 common shares at a price of US$1.936 per share to investment funds affiliated with Tiger Technology.</w:t>
      </w:r>
    </w:p>
    <w:p>
      <w:pPr>
        <w:spacing w:after="0" w:line="10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i w:val="1"/>
          <w:iCs w:val="1"/>
          <w:color w:val="auto"/>
        </w:rPr>
        <w:t>Option Grants</w:t>
      </w:r>
      <w:r>
        <w:rPr>
          <w:rFonts w:ascii="Arial" w:cs="Arial" w:eastAsia="Arial" w:hAnsi="Arial"/>
          <w:sz w:val="16"/>
          <w:szCs w:val="16"/>
          <w:color w:val="auto"/>
        </w:rPr>
        <w:t>. We have granted options to certain of our directors, officers, employees and consultants. As of the date of this prospectus, options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an aggregate of 8,719,500 common shares of our company were outstanding. See “Management—Share Incentives.”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Companies Law of the Cayman Islands is modeled after that of the United Kingdom but does not follow recent United Kingdom statutory enactments.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Mergers and Similar Arrangements</w:t>
      </w:r>
      <w:r>
        <w:rPr>
          <w:rFonts w:ascii="Arial" w:cs="Arial" w:eastAsia="Arial" w:hAnsi="Arial"/>
          <w:sz w:val="18"/>
          <w:szCs w:val="18"/>
          <w:color w:val="auto"/>
        </w:rPr>
        <w:t>. Cayman Islands law does not provide for mergers as that expression is understood under United States corporate law.</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34" w:lineRule="exact"/>
        <w:rPr>
          <w:sz w:val="20"/>
          <w:szCs w:val="20"/>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statutory provisions as to majority vote have been met;</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arrangement is such that a businessman would reasonably approve;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1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When a take-over offer is made and accepted by holders of 90.0% of the shares within four months, the offerer may, within a two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2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We are not aware of any reported class action or derivative action having been brought in a Cayman Islands court. In principle,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be the proper plaintiff and a derivative action may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be brought by a minority shareholder. However, based on English authorities, which would in all likelihood be of persuasive authority in the Cayman Islands, exceptions to the foregoing principle apply in circumstances in which:</w:t>
      </w:r>
    </w:p>
    <w:p>
      <w:pPr>
        <w:spacing w:after="0" w:line="118"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ultra vires;</w:t>
      </w:r>
    </w:p>
    <w:p>
      <w:pPr>
        <w:spacing w:after="0" w:line="184"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be effected duly if authorized by more than a simple majority vote which has not been obtained; and</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1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Cayman Islands law does not limit the extent to which a company’s articles of association may provide for indemnification of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except to the extent any such provision may be held by the Cayman Islands courts to be contrary to public policy, such as to provide indemnification against civil fraud or the consequences of committing a crime.</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adopt an amended and restated memorandum and articles of association upon the closing of this offering. Under our amended and restated memorandum and articles of association, we may indemnify our directors, officers, employees and agents against expenses, judgments, fines and amounts paid in settlement actually and reasonably incurred by such persons in connection with actions, suits or proceedings to which they are party or are threatened to be made a party by reason of their acting as our directors, officers, employees or agents. To be entitled to indemnification, these persons must have acted in good faith and in the best interest and not contrary to the interest of our company, and must not have acted in a manner willfully or grossly negligent and, with respect to any criminal action, they must have had no reasonable cause to believe their conduct was unlawful. Our amended and restated memorandum and articles of association may also provide for indemnification of such person in the case of a suit initiated by our company or in the right of our company.</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intend to enter into indemnification agreements with our directors and executive officers to indemnify them to the fullest extent permitted by applicable law and our articles of association, from and against all costs, charges, expenses, liabilities and losses incurred in connection with any litigation, suit or proceeding to which such director is or is threatened to be made a party, witness or other participant.</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under the foregoing provisions, we have been advised that in the opinion of the Securities and Exchange Commission, or the SEC, such indemnification is against public policy as expressed in the Securities Act and therefore is unenforceable.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our current investor rights agreement entered into in May 2005, we have granted certain registration rights to holders of our registrable securities, which include our preferred shares and common shares converted from our preferred shares and common shares held by certain shareholders. Set forth below is a description of the registration rights granted under the agreement.</w:t>
      </w:r>
    </w:p>
    <w:p>
      <w:pPr>
        <w:spacing w:after="0" w:line="12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Demand Registration Rights. </w:t>
      </w:r>
      <w:r>
        <w:rPr>
          <w:rFonts w:ascii="Arial" w:cs="Arial" w:eastAsia="Arial" w:hAnsi="Arial"/>
          <w:sz w:val="16"/>
          <w:szCs w:val="16"/>
          <w:color w:val="auto"/>
        </w:rPr>
        <w:t>At any time commencing six months after this offering, holders of at least 50% of registrable securities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demand that we file a registration statement covering the offer and sale of their securities with anticipated aggregate proceeds in excess of $15 million. We, however, are not obligated to effect a demand registration if (1) we have already effected one demand registration, (2) during the period beginning on the 60th day prior to our good faith estimate of the filing date of, and ending on the 180th day after the effective date of, a public offering of our securities initiated by us, or</w:t>
      </w:r>
    </w:p>
    <w:p>
      <w:pPr>
        <w:spacing w:after="0" w:line="3" w:lineRule="exact"/>
        <w:rPr>
          <w:sz w:val="20"/>
          <w:szCs w:val="20"/>
          <w:color w:val="auto"/>
        </w:rPr>
      </w:pPr>
    </w:p>
    <w:p>
      <w:pPr>
        <w:ind w:right="120" w:firstLine="8"/>
        <w:spacing w:after="0" w:line="261" w:lineRule="auto"/>
        <w:tabs>
          <w:tab w:leader="none" w:pos="2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securities to be registered can be registered on Form F-3. We have the right to defer filing of a registration statement for up to 90 days if we provide the requesting holders a certificate signed by either our chief executive officer or chairman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board of directors stating that in the good faith judgment of the board of directors that filing of a registration statement will be detrimental to us and our shareholders, but we cannot exercise the deferral right more than once in any 12 month period.</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file a registration statement for a public offering of our securities other than, among other things,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an F-3 registration statement or other than relating to a stock option plan or a corporate reorganization, then we must offer holders of registrable securities an opportunity to include in the registration all or any part of their registrable securities. We must use our best efforts to cause the underwriters in any underwritten offering to permit these shareholders who so requested to include their shares on the same terms and conditions as our securities to be registered.</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Form F-3 Registration Rights. </w:t>
      </w:r>
      <w:r>
        <w:rPr>
          <w:rFonts w:ascii="Arial" w:cs="Arial" w:eastAsia="Arial" w:hAnsi="Arial"/>
          <w:sz w:val="18"/>
          <w:szCs w:val="18"/>
          <w:color w:val="auto"/>
        </w:rPr>
        <w:t>When we are eligible for use of Form F-3, holders of at least 50% of registrable preferred securities or the holders of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35% of registrable common securities then outstanding have the right to request that we file a registration statement under Form F-3. We may defer filing of a registration statement on Form F-3 for up to 90 days if we provide the requesting holders a certificate signed by either our chief executive officer or chairman of the board of directors stating that in the good faith judgment of the board of directors that filing such a registration statement will be detrimental to us and our shareholders. We are not obligated to file a registration statement on Form F-3 if we have already effected two registrations on Form F-3 for the holders or the holders propose to sell registrable securities and such other securities (if any) at an aggregate public price of less than $1 million, net of any underwriters’ discounts or commissions.</w:t>
      </w:r>
    </w:p>
    <w:p>
      <w:pPr>
        <w:spacing w:after="0" w:line="13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Expenses of Registration. </w:t>
      </w:r>
      <w:r>
        <w:rPr>
          <w:rFonts w:ascii="Arial" w:cs="Arial" w:eastAsia="Arial" w:hAnsi="Arial"/>
          <w:sz w:val="18"/>
          <w:szCs w:val="18"/>
          <w:color w:val="auto"/>
        </w:rPr>
        <w:t>We will pay all expenses, other than underwriting discounts and commissions, relating to any demand, piggyback or F-3</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including all registration, filing and qualification fees, printers’ and accounting fees, fees and disbursement of counsel for us and the reasonable fees and disbursements of one counsel for the selling holders.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Receipts</w:t>
      </w:r>
    </w:p>
    <w:p>
      <w:pPr>
        <w:spacing w:after="0" w:line="16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Deutsche Bank Trust Company Americas, as depositary, will issue the ADSs representing our common shares. Each ADS will represent an ownership interest in four common shares which we will deposit with the custodian under the deposit agreement among ourselves, the depositary and yourself as an ADS holder. In the future, each ADS will also represent any securities, cash or other property deposited with the depositary but which it has not distributed directly to you. Your ADSs will be evidenced by what are known as American depositary receipts, or ADRs, in the same way a share is evidenced by a share certificate.</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You can read a copy of the deposit agreement which is filed as an exhibit to the registration statement of which this prospectus forms a part. You may also obtain a copy of the deposit agreement at the SEC’s public Reference Room located at 100 F Street, N.E., Washington, D.C. 20549, United States of America. You may obtain information on the operation of the Public Reference Room by calling the SEC at +1-800-732-0330. Copies of the deposit agreement and the form of ADR are also available for inspection at the corporate trust office of Deutsche Bank Trust Company Americas, currently located at 60 Wall Street, New York, New York 10005, United States of America, and at the principal office of Deutsche Bank AG, Hong Kong Branch, as the custodian, currently located at 52/F Cheung Kong Center, 2 Queens Road, Central, Hong Kong S.A.R., People’s Republic of China. Deutsche Bank Trust Company Americas’ principal executive office is located at 60 Wall Street, New York, New York 10005, United States of America. The depositary will keep books at its corporate trust office for the registration of ADRs and transfers of ADRs which, at all reasonable times, shall be open for inspection by ADS holders, provided that inspection shall not be for the purpose of communicating with ADS holders in the interest of a business or object other than our business or a matter related to the deposit agreement or the ADSs.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the ADSs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will I hold my ADSs?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ADSs shall be held electronically in book-entry form through The Depository Trust Company in your name or indirectly through your broker or other financial institution. If you hold the ADSs indirectly, you must rely on the procedures of your broker or other financial institution to assert the rights of ADR holders described in this section. You should consult with your broker or financial institution to find out what those procedures are. This description assumes that you hold your ADSs directly solely for the purposes of summarizing the deposit agreement.</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not treat an ADR holder as one of our shareholders and you will not have shareholder rights. Cayman Islands law governs shareholder rights. The depositary will be the holder of the shares underlying your ADSs. As a holder of ADRs, you will have ADR holder rights. A deposit agreement among us, the depositary and you, as an ADR holder, and the beneficial owners of ADRs sets out ADR holder rights, representations and warranties as well as the rights and obligations of the depositary.</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you become a holder of ADSs, you will become a party to the deposit agreement and therefore will be bound by its terms and by the terms of the ADR that represents your ADSs. The deposit agreement and the ADR specify our rights and obligations as well as your rights and obligations as a holder of ADSs and those of the depositary bank. As an ADS holder you appoint the depositary bank to act on your behalf in certain circumstances. The deposit agreement and the ADRs are governed by New York law. However, our obligations to the holders of ordinary shares will continue to be governed by Cayman Islands law, which may be different from the laws in the 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5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depositary has agreed to pay to you the cash dividends or other distributions it or the custodian receives on shares or other deposited securities, after deducting its fees, charges and expenses and any taxes withheld, duties or other governmental charges. You will receive these distributions in proportion to the number of shares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your ADSs represent as of the record date (which will be as close as practicable to the record date for our common shares) set by the depositary with respect to the ADSs.</w:t>
      </w:r>
    </w:p>
    <w:p>
      <w:pPr>
        <w:spacing w:after="0" w:line="118" w:lineRule="exact"/>
        <w:rPr>
          <w:sz w:val="20"/>
          <w:szCs w:val="20"/>
          <w:color w:val="auto"/>
        </w:rPr>
      </w:pPr>
    </w:p>
    <w:p>
      <w:pPr>
        <w:ind w:left="780" w:hanging="326"/>
        <w:spacing w:after="0" w:line="254"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or any proceeds from the sale of any shares, rights,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or other entitlements into U.S. dollars, if it can do so in its judgment on a practicable basis and can transfer the U.S. dollars to the United States. If that is not practicable or if any government approval is needed and cannot be obtained, the deposit agreement allows the depositary to distribute the foreign currency only to those ADR holders to whom it is practicable to do so. The depositary will hold the foreign currency it cannot convert for the account of the ADR holders who have not been paid. The depositary will not invest the foreign currency and it will not be liable for any interest.</w:t>
      </w:r>
    </w:p>
    <w:p>
      <w:pPr>
        <w:spacing w:after="0" w:line="131" w:lineRule="exact"/>
        <w:rPr>
          <w:sz w:val="20"/>
          <w:szCs w:val="20"/>
          <w:color w:val="auto"/>
        </w:rPr>
      </w:pPr>
    </w:p>
    <w:p>
      <w:pPr>
        <w:jc w:val="both"/>
        <w:ind w:left="800" w:right="260"/>
        <w:spacing w:after="0" w:line="259" w:lineRule="auto"/>
        <w:rPr>
          <w:sz w:val="20"/>
          <w:szCs w:val="20"/>
          <w:color w:val="auto"/>
        </w:rPr>
      </w:pPr>
      <w:r>
        <w:rPr>
          <w:rFonts w:ascii="Arial" w:cs="Arial" w:eastAsia="Arial" w:hAnsi="Arial"/>
          <w:sz w:val="18"/>
          <w:szCs w:val="18"/>
          <w:color w:val="auto"/>
        </w:rPr>
        <w:t>Before making a distribution, the depositary will deduct any withholding taxes that must be paid. See “Taxation.”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spacing w:after="0" w:line="127" w:lineRule="exact"/>
        <w:rPr>
          <w:sz w:val="20"/>
          <w:szCs w:val="20"/>
          <w:color w:val="auto"/>
        </w:rPr>
      </w:pPr>
    </w:p>
    <w:p>
      <w:pPr>
        <w:ind w:left="780" w:hanging="326"/>
        <w:spacing w:after="0" w:line="25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to the extent permissible</w:t>
      </w:r>
      <w:r>
        <w:rPr>
          <w:rFonts w:ascii="Arial" w:cs="Arial" w:eastAsia="Arial" w:hAnsi="Arial"/>
          <w:sz w:val="18"/>
          <w:szCs w:val="18"/>
          <w:i w:val="1"/>
          <w:iCs w:val="1"/>
          <w:color w:val="auto"/>
        </w:rPr>
        <w:t xml:space="preserve"> </w:t>
      </w:r>
      <w:r>
        <w:rPr>
          <w:rFonts w:ascii="Arial" w:cs="Arial" w:eastAsia="Arial" w:hAnsi="Arial"/>
          <w:sz w:val="18"/>
          <w:szCs w:val="18"/>
          <w:color w:val="auto"/>
        </w:rPr>
        <w:t>by law. The depositary will only distribute whole ADSs. It will try to sell shares which would require it to deliver a fractional ADS and distribute the net proceeds in the same way as it does with cash. If the depositary does not distribute additional ADSs, the outstanding ADSs will also represent the new shares.</w:t>
      </w:r>
    </w:p>
    <w:p>
      <w:pPr>
        <w:spacing w:after="0" w:line="129" w:lineRule="exact"/>
        <w:rPr>
          <w:rFonts w:ascii="Arial" w:cs="Arial" w:eastAsia="Arial" w:hAnsi="Arial"/>
          <w:sz w:val="18"/>
          <w:szCs w:val="18"/>
          <w:color w:val="auto"/>
        </w:rPr>
      </w:pPr>
    </w:p>
    <w:p>
      <w:pPr>
        <w:ind w:left="780" w:right="20" w:hanging="326"/>
        <w:spacing w:after="0" w:line="287" w:lineRule="auto"/>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Elective Distributions in Cash or Shares</w:t>
      </w:r>
      <w:r>
        <w:rPr>
          <w:rFonts w:ascii="Arial" w:cs="Arial" w:eastAsia="Arial" w:hAnsi="Arial"/>
          <w:sz w:val="16"/>
          <w:szCs w:val="16"/>
          <w:color w:val="auto"/>
        </w:rPr>
        <w:t>. If we offer holders of our common shares the option to receive dividends in either cash or common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after consultation with us and having received timely notice of such elective distribution by us, has discretion to determine to what extent such elective distribution will be made available to you as a holder of the ADSs. We must first instruct the depositary to make such elective distribution available to you and furnish it with satisfactory evidence that it is legal to do so. The depositary could decide it is not legal or reasonably practical to make such elective distribution available to you, or it could decide that it is only legal or reasonably practical to make such elective distribution available to some but not all holders of the ADSs. In such case, the depositary shall, on the basis of the same determination as is made in respect of the common shares for which no election is made, distribute either cash in the same way as it does in a cash distribution, or additional ADSs representing common shares in the same way as it does in a share distribution. The depositary is not obligated to make available to you a method to receive the elective dividend in common shares rather than in ADSs. There can be no assurance that you will be given the opportunity to receive elective distributions on the same terms and conditions as the holders of common shares.</w:t>
      </w:r>
    </w:p>
    <w:p>
      <w:pPr>
        <w:spacing w:after="0" w:line="109" w:lineRule="exact"/>
        <w:rPr>
          <w:rFonts w:ascii="Arial" w:cs="Arial" w:eastAsia="Arial" w:hAnsi="Arial"/>
          <w:sz w:val="16"/>
          <w:szCs w:val="16"/>
          <w:color w:val="auto"/>
        </w:rPr>
      </w:pPr>
    </w:p>
    <w:p>
      <w:pPr>
        <w:ind w:left="780" w:hanging="326"/>
        <w:spacing w:after="0" w:line="288" w:lineRule="auto"/>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Rights to Receive Additional Shares</w:t>
      </w:r>
      <w:r>
        <w:rPr>
          <w:rFonts w:ascii="Arial" w:cs="Arial" w:eastAsia="Arial" w:hAnsi="Arial"/>
          <w:sz w:val="16"/>
          <w:szCs w:val="16"/>
          <w:color w:val="auto"/>
        </w:rPr>
        <w:t>. If we offer holders of our securities any rights to subscribe for additional common shares or any other rights,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after consultation with us and having received timely notice of such distribution by us, has discretion to determine how these rights become available to you as a holder of ADSs. We must first instruct the depositary to do so and furnish it with satisfactory evidence that it is legal to do so. The depositary could decide it is not legal or reasonably practical to make the rights available to you, or it could decide that it is only legal or reasonably practical to make the rights available to some but not all holders of the ADSs. The depositary may decide to sell the rights and distribute the proceeds in the same way as it does with cash. If the depositary decides that it is not legal or reasonably practical to make the rights available to you or to sell the rights, the rights that are not distributed or sold could lapse. In that case, you will receive no value for them. The depositary is not responsible for a failure in determining whether or not it is legal or reasonably practical to distribute the rights. The depositary is liable for damages, however, if it acts with gross negligence or bad faith, in accordance with the provisions of the deposit agreement.</w:t>
      </w:r>
    </w:p>
    <w:p>
      <w:pPr>
        <w:spacing w:after="0" w:line="106" w:lineRule="exact"/>
        <w:rPr>
          <w:sz w:val="20"/>
          <w:szCs w:val="20"/>
          <w:color w:val="auto"/>
        </w:rPr>
      </w:pPr>
    </w:p>
    <w:p>
      <w:pPr>
        <w:jc w:val="both"/>
        <w:ind w:left="800" w:right="220"/>
        <w:spacing w:after="0" w:line="306" w:lineRule="auto"/>
        <w:rPr>
          <w:sz w:val="20"/>
          <w:szCs w:val="20"/>
          <w:color w:val="auto"/>
        </w:rPr>
      </w:pPr>
      <w:r>
        <w:rPr>
          <w:rFonts w:ascii="Arial" w:cs="Arial" w:eastAsia="Arial" w:hAnsi="Arial"/>
          <w:sz w:val="16"/>
          <w:szCs w:val="16"/>
          <w:color w:val="auto"/>
        </w:rPr>
        <w:t>If the depositary makes rights available to you, it will exercise the rights and purchase the common shares on your behalf. The depositary will then deposit the common shares and issue ADSs to you. It will only exercise rights if you pay it the exercise price and any other fees and charges of, and expenses incurred by, the depositary and any taxes and other governmental charges the rights require you to pay.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56" w:lineRule="auto"/>
        <w:rPr>
          <w:sz w:val="20"/>
          <w:szCs w:val="20"/>
          <w:color w:val="auto"/>
        </w:rPr>
      </w:pPr>
      <w:r>
        <w:rPr>
          <w:rFonts w:ascii="Arial" w:cs="Arial" w:eastAsia="Arial" w:hAnsi="Arial"/>
          <w:sz w:val="18"/>
          <w:szCs w:val="18"/>
          <w:color w:val="auto"/>
        </w:rPr>
        <w:t>U.S. securities laws or laws of the Cayman Islands may restrict the sale, deposit, cancellation, and transfer of the ADSs issued after an exercise of rights. For example, you may not be able to trade the new ADSs freely in the United States. In this case, the depositary may issue the new ADSs under a separate restricted deposit agreement which will contain the same provisions as the deposit agreement, except for changes needed to put the restrictions in place.</w:t>
      </w:r>
    </w:p>
    <w:p>
      <w:pPr>
        <w:spacing w:after="0" w:line="130" w:lineRule="exact"/>
        <w:rPr>
          <w:sz w:val="20"/>
          <w:szCs w:val="20"/>
          <w:color w:val="auto"/>
        </w:rPr>
      </w:pPr>
    </w:p>
    <w:p>
      <w:pPr>
        <w:ind w:left="780" w:right="180" w:hanging="326"/>
        <w:spacing w:after="0" w:line="288" w:lineRule="auto"/>
        <w:tabs>
          <w:tab w:leader="none" w:pos="78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Other Distributions</w:t>
      </w:r>
      <w:r>
        <w:rPr>
          <w:rFonts w:ascii="Arial" w:cs="Arial" w:eastAsia="Arial" w:hAnsi="Arial"/>
          <w:sz w:val="16"/>
          <w:szCs w:val="16"/>
          <w:color w:val="auto"/>
        </w:rPr>
        <w:t>. Subject to receipt of timely notice from us with the request to make any such distribution available to you, and provided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has determined such distribution is lawful and reasonably practicable and feasible and in accordance with the terms of the deposit agreement, the depositary will send to you anything else we distribute on deposited securities by any means it deems practical in proportion to the number of ADSs held by you, upon receipt of applicable fees and charges of, and expenses incurred by, the depositary and net of any taxes and other governmental charges withheld. If it cannot make the distribution in that way, or has not received a timely request for distribution from us, the depositary has a choice. It may decide to sell by public or private sale, net of fees and charges of, and expenses incurred by, the depositary and any taxes and other governmental charges, what we distributed and distribute the net proceeds, in the same way as it does with cash. Or, it may decide to dispose of such property in any way it deems reasonably practicable for nominal or no consideration. However, the depositary is not required to distribute any securities (other than ADSs) to you unless it receives satisfactory evidence from us that it is legal to make that distribution.</w:t>
      </w:r>
    </w:p>
    <w:p>
      <w:pPr>
        <w:spacing w:after="0" w:line="106" w:lineRule="exact"/>
        <w:rPr>
          <w:sz w:val="20"/>
          <w:szCs w:val="20"/>
          <w:color w:val="auto"/>
        </w:rPr>
      </w:pPr>
    </w:p>
    <w:p>
      <w:pPr>
        <w:ind w:left="800"/>
        <w:spacing w:after="0" w:line="298" w:lineRule="auto"/>
        <w:rPr>
          <w:sz w:val="20"/>
          <w:szCs w:val="20"/>
          <w:color w:val="auto"/>
        </w:rPr>
      </w:pPr>
      <w:r>
        <w:rPr>
          <w:rFonts w:ascii="Arial" w:cs="Arial" w:eastAsia="Arial" w:hAnsi="Arial"/>
          <w:sz w:val="16"/>
          <w:szCs w:val="16"/>
          <w:color w:val="auto"/>
        </w:rPr>
        <w:t>The depositary is not responsible if it decides that it is unlawful or impractical to make a distribution available to any ADR holders. We have no obligation to register ADSs, shares, rights or other securities under the Securities Act. We also have no obligation to take any other action to permit the distribution of ADRs, shares, rights or anything else to ADR holders. This means that you may not receive the distributions we make on our shares or any value for them if it is illegal, impractical or infeasible for us or the depositary to make them available to you.</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and Withdrawal</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58"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 depositary will deliver ADSs if you or your broker deposits shares with the custodian. Shares deposited in the future with the custodian must be accompanied by documents, including instruments showing that those shares have been properly transferred or endorsed to the person on whose behalf the deposit is being made.</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custodian will hold all deposited shares, including those being deposited by or on behalf of us in connection with this offering to which this prospectus relates, for the account of the depositary. You thus have no direct ownership interest in the shares and only have the rights that are set out in the deposit agreement. The custodian also will hold any additional securities, property and cash received on, or in substitution for, the deposited shares. The deposited shares and any such additional items are all referred to as “deposited securities.”</w:t>
      </w:r>
    </w:p>
    <w:p>
      <w:pPr>
        <w:spacing w:after="0" w:line="13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Upon each deposit of shares, receipt of related delivery documentation and compliance with the other provisions of the deposit agreement, including the payment of the fees and charges of, and expenses incurred by, the depositary and of any taxes or charges, such as stamp taxes or share transfer taxes or fees, the depositary will issue an ADR or ADRs in the name of the person entitled thereto evidencing the number of ADSs to which that person is entitled.</w:t>
      </w:r>
    </w:p>
    <w:p>
      <w:pPr>
        <w:spacing w:after="0" w:line="93"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color w:val="auto"/>
        </w:rPr>
        <w:t>Except for shares deposited by us in connection with this offering, no shares will be accepted for deposit during a period of 180 days after the date of this prospectus. The 180-day lock-up period is subject to adjustment under certain circumstances as described in the deposit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do ADS holders cancel an ADR and obtain shares?</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may surrender your ADRs through instruction provided to your broker. Upon payment of its fees and charges of, and expenses incurred by, it and of any taxes or charges, such as stamp taxes or share transfer taxes or fees, the depositary will deliver the shares and any other deposited securities underlying the ADR to you or a person you designate at the office of the custodian. Or, at your request, risk and expense, the depositary will deliver the deposited securities at its principal New York office or any other location that it may designate as its transfer office, if feasible.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have the right to cancel your ADSs and withdraw the underlying common shares at any time subject only to:</w:t>
      </w:r>
    </w:p>
    <w:p>
      <w:pPr>
        <w:spacing w:after="0" w:line="158" w:lineRule="exact"/>
        <w:rPr>
          <w:sz w:val="20"/>
          <w:szCs w:val="20"/>
          <w:color w:val="auto"/>
        </w:rPr>
      </w:pPr>
    </w:p>
    <w:p>
      <w:pPr>
        <w:ind w:left="780" w:right="72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temporary delays caused by closing our or the depositary’s transfer books or the deposit of our common shares in connection with voting at a shareholders’ meeting or the payment of dividends;</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84" w:lineRule="exact"/>
        <w:rPr>
          <w:rFonts w:ascii="Arial" w:cs="Arial" w:eastAsia="Arial" w:hAnsi="Arial"/>
          <w:sz w:val="18"/>
          <w:szCs w:val="18"/>
          <w:color w:val="auto"/>
        </w:rPr>
      </w:pPr>
    </w:p>
    <w:p>
      <w:pPr>
        <w:ind w:left="460" w:right="820" w:hanging="6"/>
        <w:spacing w:after="0" w:line="489" w:lineRule="auto"/>
        <w:tabs>
          <w:tab w:leader="none" w:pos="773"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compliance with any U.S. or foreign laws or governmental regulations relating to the ADRs or to the withdrawal of the deposited securities. U.S. securities laws provide that this right of withdrawal may not be limited by any other provision of the deposit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6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Whenever we decide to redeem any of the shares on deposit with the custodian, we will notify the depositary. If it is reasonably practicable and if we provide all of the documentation contemplated in the deposit agreement, the depositary bank will mail notice of the redemption to the holders.</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redeemed will be selected by lot or on a pro rata basis, as the depositary bank may determine.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of Notices to Shareholders</w:t>
      </w:r>
    </w:p>
    <w:p>
      <w:pPr>
        <w:spacing w:after="0" w:line="16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will promptly transmit to the depositary those communications that we make generally available to our shareholders together with annual and other reports prepared in accordance with applicable requirements of U.S. securities laws in English. If those communications were not originally in English, we will translate them. Upon our request, and at our expense, subject to the distribution of any such communications being lawful and not in contravention of any regulatory restrictions or requirements if so distributed and made available to holders, the depositary will arrange for the timely mailing of copies of such communications to all ADS holders and will make a copy of such communications available for inspection at the depositary’s Corporate Trust Office, the office of the custodian or any other designated transfer office of the depositary.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may instruct the depositary to vote the shares underlying your ADSs. You could exercise your right to vote directly if you withdraw the common shares. However, you may not know about the meeting sufficiently in advance to withdraw the common shares. The voting rights of holders of common shares are described in “Description of Share Capital.”</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receipt of timely notice from us, the depositary will notify you of the upcoming vote and arrange to deliver our voting materials to you. The materials will describe the matters to be voted on and explain how you, if you hold the ADSs on a date specified by the depositary, may instruct the depositary to vote the common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shares or other deposited securities underlying your ADSs as you direct. For your instructions to be valid, the depositary must receive them in writing on or before a date specified by the depositary. The depositary will try, as far as practical, subject to any applicable law and the provisions of our memorandum and articles of association, to vote or to have its agents vote the common shares or other deposited securities as you instruct. The depositary will only vote or attempt to vote as you instruct and will not vote any shares where no instructions have been received. Furthermore, under the deposit agreement, if we do not timely procure the demand for a vote by poll with respect to any given resolution, and no other relevant party has made such a demand, the depositary shall refrain from voting and any voting instructions received from any ADS holders shall lapse.</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the depositary does not timely receive voting instructions from you, the depositary has agreed to give a discretionary proxy to a person designated by us to vote the number of deposited securities represented by your ADSs. The depositary will give such person a discretionary proxy in such circumstances to vote on all questions to be voted upon unless we inform the depositary that:</w:t>
      </w:r>
    </w:p>
    <w:p>
      <w:pPr>
        <w:spacing w:after="0" w:line="127" w:lineRule="exact"/>
        <w:rPr>
          <w:sz w:val="20"/>
          <w:szCs w:val="20"/>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do not wish to receive a discretionary proxy;</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are aware that substantial shareholder opposition exists against the outcome for which our designee would vote; or</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outcome for which our designee would vote would materially and adversely affect shareholder rights.</w:t>
      </w:r>
    </w:p>
    <w:p>
      <w:pPr>
        <w:spacing w:after="0" w:line="1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your right to vote and if your common shares are not voted as you requested, you may have no recourse.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Persons depositing shares will be charged a fee for each issuance of ADSs, including issuances resulting from distributions of shares, share dividends, share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splits, bonus and rights distributions and other property, and for each surrender of ADSs in exchange for deposited securities. The fee in each case is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US$5.00 for each 100 ADSs, or any portion thereof, issued or surrendered. The depositary will also charge a fee of up to US$2.00 per 100 ADSs for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cash proceeds pursuant to a cash distribution (so long as the charging of such fee is not prohibited by any exchange upon which the ADSs are listed),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and other entitlements or otherwise. The depositary may also charge an annual fee of up to US$0.02 per ADS for the operation and maintenance costs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administering the facility. You or persons depositing shares also may be charged the following expenses:</w:t>
      </w:r>
    </w:p>
    <w:p>
      <w:pPr>
        <w:spacing w:after="0" w:line="151" w:lineRule="exact"/>
        <w:rPr>
          <w:sz w:val="20"/>
          <w:szCs w:val="20"/>
          <w:color w:val="auto"/>
        </w:rPr>
      </w:pPr>
    </w:p>
    <w:p>
      <w:pPr>
        <w:ind w:left="780" w:right="10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taxes and other governmental charges incurred by the depositary or the custodian on any ADR or shares underlying an ADR, including any applicable interest and penalties thereon, and any share transfer or other taxes and other governmental charges;</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w:t>
      </w:r>
    </w:p>
    <w:p>
      <w:pPr>
        <w:spacing w:after="0" w:line="184" w:lineRule="exact"/>
        <w:rPr>
          <w:rFonts w:ascii="Arial" w:cs="Arial" w:eastAsia="Arial" w:hAnsi="Arial"/>
          <w:sz w:val="18"/>
          <w:szCs w:val="18"/>
          <w:color w:val="auto"/>
        </w:rPr>
      </w:pPr>
    </w:p>
    <w:p>
      <w:pPr>
        <w:ind w:left="780" w:right="800" w:hanging="326"/>
        <w:spacing w:after="0" w:line="332" w:lineRule="auto"/>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transfer or registration fees for the registration of transfer of deposited securities on any applicable register in connection with the deposit or withdrawal of deposited securities including those of a central depository for securities (where applicable);</w:t>
      </w:r>
    </w:p>
    <w:p>
      <w:pPr>
        <w:spacing w:after="0" w:line="71" w:lineRule="exact"/>
        <w:rPr>
          <w:rFonts w:ascii="Arial" w:cs="Arial" w:eastAsia="Arial" w:hAnsi="Arial"/>
          <w:sz w:val="16"/>
          <w:szCs w:val="16"/>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of the depositary in connection with the conversion of foreign currency into U.S. dollars;</w:t>
      </w:r>
    </w:p>
    <w:p>
      <w:pPr>
        <w:spacing w:after="0" w:line="184"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fees and expenses incurred by the depositary in connection with compliance with exchange control regulations and other regulatory requirements applicable to the shares, deposited securities and ADSs and</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fees, charges, costs or expenses that may be incurred by the depositary from time to time.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We and the depositary may amend the fees described above from time to time.</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Deutsche Bank Trust Company Americas, as depositary bank, has agreed with us to reimburse us for a portion of certain expenses incurred in connection with our initial public offering and the establishment and maintenance of the ADR program and to provide us with assistance in relation to our investor relations program, the training of staff and certain other matters. Further, the depositary has agreed to share with us certain fees payable to the depositary by holders of ADSs.</w:t>
      </w:r>
    </w:p>
    <w:p>
      <w:pPr>
        <w:spacing w:after="0" w:line="13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Neither the depositary bank nor we can determine the exact amount to be made available to us because (i) the number of ADSs that will be issued and outstanding, (ii) the level of service fees to be charged to holders of ADSs and (iii) our reimbursable expenses related to the program are not known at this time.</w:t>
      </w:r>
    </w:p>
    <w:p>
      <w:pPr>
        <w:spacing w:after="0" w:line="49"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Depositary fees payable upon the issuance and cancellation of ADSs are generally paid to the depositary bank by the brokers receiving the newly issued ADSs from the depositary bank and by the brokers delivering the ADSs to the depositary bank for cancellation. Depositary fees payable in connection with distributions of cash or securities to ADS holders and the depositary service fee are charged by the depositary bank to the holders of record of ADSs as of the applicable ADS record date.</w:t>
      </w:r>
    </w:p>
    <w:p>
      <w:pPr>
        <w:spacing w:after="0" w:line="13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the case of cash distributions, service fees are generally deducted from the cash being distributed. In the case of distributions other than cash (i.e., stock dividends, rights, etc), the depositary bank charges the applicable ADS record date holder concurrent with the distribution. In the case of ADSs registered in the name of the investor (whether certificated or in DRS), the depositary bank sends invoices to the applicable record date ADS holders. In the case of ADSs held in brokerage and custodian accounts (via DTC), the depositary bank generally collects the fees through the settlement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service fees paid to the depositary banks.</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the event of refusal to pay the service fee, the depositary bank may, under the terms of the deposit agreement, refuse the requested service until payment is received or may set off the amount of the service fee from any distribution to be made to the ADS holder.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underlying your ADRs. The custodian may refuse to deposit shares and the depositary may refuse to issue ADSs, deliver ADRs, register the transfer, split-up or combination of ADRs, or allow you to withdraw the deposited securities underlying your ADSs until such payment is made including any applicable interest and penalty thereon. We, the custodian or the depositary may withhold or deduct the amount of taxes owed from any distributions to you or may sell deposited securities, by public or private sale, to pay any taxes and any applicable interest and penalties owed. You will remain liable if the proceeds of the sale are not enough to pay the taxes. If the depositary sells deposited securities, it will, if appropriate, reduce the number of ADSs to reflect the sale and pay to you any proceeds, or send to you any property remaining after it has paid the taxes.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6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If we take actions that affect the deposited securities, including any change in par value, split-up, cancellation, consolidation or other reclassification of deposited securities to the extent permitted by any applicable law, any distribution on the shares that is not distributed to you, and any recapitalization,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reorganization, merger, consolidation, liquidation or sale of our assets affecting us or to which we are a party, then the cash, shares or other securities received by the depositary will become deposited securities and ADRs will, be subject to the deposit agreement and any applicable law, evidence the right to receive such additional deposited securities, and the depositary may choose to:</w:t>
      </w:r>
    </w:p>
    <w:p>
      <w:pPr>
        <w:spacing w:after="0" w:line="127" w:lineRule="exact"/>
        <w:rPr>
          <w:sz w:val="20"/>
          <w:szCs w:val="20"/>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distribute additional ADRs;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call for surrender of outstanding ADRs to be exchanged for new ADRs;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84"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sell any securities or property received at public or private sale on an averaged or other practicable basis without regard to any distinctions among holders and distribute the net proceeds as cash; or</w:t>
      </w:r>
    </w:p>
    <w:p>
      <w:pPr>
        <w:spacing w:after="0" w:line="118"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treat the cash, securities or other property it receives as part of the deposited securities, and each ADS will then represent a proportionate interest in that property.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agree with the depositary to amend the deposit agreement and the ADSs without your consent for any reason deemed necessary or desirable. You will be given at least 30 days’ notice of any amendment that imposes or increases any fees or charges, except for taxes, governmental charges, delivery expenses or expenses incurred in connection with foreign exchange control regulations and other charges specifically payable by ADS holders under the deposit agreement, or which otherwise materially prejudices any substantial existing right of holders or beneficial owners of ADSs. If an ADS holder continues to hold ADSs after being so notified of these changes, that ADS holder is deemed to agree to that amendment and be bound by the ADRs and the agreement as amended. An amendment can become effective before notice is given if necessary to ensure compliance with a new law, rule or regulation.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any time, we may instruct the depositary to terminate the deposit agreement, in which case the depositary will give notice to you at least 90 days prior to termination. The depositary may also terminate the agreement if it has told us that it would like to resign or we have removed the depositary and we have not appointed a new depositary bank within 90 days; in such instances, the depositary will give notice to you at least 30 days prior to termination. After termination, the depositary’s only responsibility will be to deliver deposited securities to ADS holders who surrender their ADSs upon payment of any fees, charges, taxes or other governmental charges, and to hold or sell distributions received on deposited securities. After the expiration of one year from the termination date, the depositary may sell the deposited securities which remain and hold the net proceeds of such sales, uninvested and without liability for interest, for the pro rata benefit of ADS holders who have not yet surrendered their ADSs. After selling the deposited securities, the depositary has no obligations except to account for those net proceeds and other cash. Upon termination of the deposit agreement, we will be discharged from all obligations except for our obligations to the depositary.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6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depositary will maintain in New York facilities to record and process the issuance, cancellation, combination, split-up and transfer of ADRs.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 agreement expressly limits our and the depositary’s obligations and liability.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depositary, including its agents:</w:t>
      </w:r>
    </w:p>
    <w:p>
      <w:pPr>
        <w:spacing w:after="0" w:line="158" w:lineRule="exact"/>
        <w:rPr>
          <w:sz w:val="20"/>
          <w:szCs w:val="20"/>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gross negligence or bad faith;</w:t>
      </w:r>
    </w:p>
    <w:p>
      <w:pPr>
        <w:spacing w:after="0" w:line="184" w:lineRule="exact"/>
        <w:rPr>
          <w:rFonts w:ascii="Arial" w:cs="Arial" w:eastAsia="Arial" w:hAnsi="Arial"/>
          <w:sz w:val="18"/>
          <w:szCs w:val="18"/>
          <w:color w:val="auto"/>
        </w:rPr>
      </w:pPr>
    </w:p>
    <w:p>
      <w:pPr>
        <w:ind w:left="780" w:hanging="326"/>
        <w:spacing w:after="0" w:line="255"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are not liable if either of us is prevented or delayed in performing any obligation by law or circumstances beyond our control under the deposit agreement, including, without limitation, requirements of any present or future law, regulation, governmental or regulatory authority or share exchange of any applicable jurisdiction, any present or future provision of our memorandum and articles of association, on account of possible civil or criminal penalties or restraint, any provisions of or governing the deposited securities or any act of God, war or other circumstances beyond each of our control as set forth in the deposit agreement;</w:t>
      </w:r>
    </w:p>
    <w:p>
      <w:pPr>
        <w:spacing w:after="0" w:line="129"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are not liable if either of us exercises or fails to exercise the discretion permitted under the deposit agreement, the provisions of or governing the deposited securities or our memorandum and articles of association;</w:t>
      </w:r>
    </w:p>
    <w:p>
      <w:pPr>
        <w:spacing w:after="0" w:line="118"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disclaim any liability for any action/inaction on the advice or information of legal counsel, accountants, any person presenting shares for deposit, holders and beneficial owners (or authorized representatives) of ADRs, or any person believed in good faith to be competent to give such advice or information;</w:t>
      </w:r>
    </w:p>
    <w:p>
      <w:pPr>
        <w:spacing w:after="0" w:line="126"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disclaim any liability for inability of any holder to benefit from any distribution, offering, right or other benefit made available to holders of deposited securities but not made available to holders of ADSs;</w:t>
      </w:r>
    </w:p>
    <w:p>
      <w:pPr>
        <w:spacing w:after="0" w:line="118"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any deposited securities or the ADSs or the deposit agreement on your behalf or on behalf of any other party;</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may rely upon any documents we believe in good faith to be genuine and to have been signed or presented by the proper party;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disclaim any liability for any consequential or punitive damages for any breach of the terms of the deposit agreement.</w:t>
      </w:r>
    </w:p>
    <w:p>
      <w:pPr>
        <w:spacing w:after="0" w:line="1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depositary and any of its agents also disclaim any liability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the failure or timeliness of any notice from us, the content of any information submitted to it by us for distribution to you or for any inaccuracy of any translation thereof, any investment risk associated with the acquisition of an interest in the deposited securities, the validity or worth of the deposited securities or for any tax consequences that may result from ownership of ADSs, shares or deposited securities and for any indirect, special, punitive or consequential damage.</w:t>
      </w:r>
    </w:p>
    <w:p>
      <w:pPr>
        <w:spacing w:after="0" w:line="107" w:lineRule="exact"/>
        <w:rPr>
          <w:sz w:val="20"/>
          <w:szCs w:val="20"/>
          <w:color w:val="auto"/>
        </w:rPr>
      </w:pPr>
    </w:p>
    <w:p>
      <w:pPr>
        <w:ind w:right="340" w:firstLine="456"/>
        <w:spacing w:after="0" w:line="422" w:lineRule="auto"/>
        <w:rPr>
          <w:sz w:val="20"/>
          <w:szCs w:val="20"/>
          <w:color w:val="auto"/>
        </w:rPr>
      </w:pPr>
      <w:r>
        <w:rPr>
          <w:rFonts w:ascii="Arial" w:cs="Arial" w:eastAsia="Arial" w:hAnsi="Arial"/>
          <w:sz w:val="18"/>
          <w:szCs w:val="18"/>
          <w:color w:val="auto"/>
        </w:rPr>
        <w:t xml:space="preserve">We have agreed to indemnify the depositary under certain circumstances. The depositary may own and deal in any class of our securities and in ADSs. </w:t>
      </w:r>
      <w:r>
        <w:rPr>
          <w:rFonts w:ascii="Arial" w:cs="Arial" w:eastAsia="Arial" w:hAnsi="Arial"/>
          <w:sz w:val="18"/>
          <w:szCs w:val="18"/>
          <w:b w:val="1"/>
          <w:bCs w:val="1"/>
          <w:color w:val="auto"/>
        </w:rPr>
        <w:t>Requirements for Depositary Actions</w:t>
      </w:r>
    </w:p>
    <w:p>
      <w:pPr>
        <w:spacing w:after="0" w:line="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Before the depositary will issue, deliver or register a transfer of an ADR, make a distribution on an ADR, or permit withdrawal of shares or other property, the depositary may require:</w:t>
      </w:r>
    </w:p>
    <w:p>
      <w:pPr>
        <w:spacing w:after="0" w:line="118" w:lineRule="exact"/>
        <w:rPr>
          <w:sz w:val="20"/>
          <w:szCs w:val="20"/>
          <w:color w:val="auto"/>
        </w:rPr>
      </w:pPr>
    </w:p>
    <w:p>
      <w:pPr>
        <w:ind w:left="780" w:right="14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payment of share transfer or other taxes or other governmental charges and transfer or registration fees charged by third parties for the transfer of any common shares or other deposited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production of satisfactory proof of the identity and genuineness of any signature or other information it deems necessary;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compliance with regulations it may establish, from time to time, consistent with the deposit agreement, including presentation of transfer documents.</w:t>
      </w:r>
    </w:p>
    <w:p>
      <w:pPr>
        <w:spacing w:after="0" w:line="20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depositary also may suspend the issuance of ADSs, the deposit of shares, the registration, transfer, split-up or combination of ADRs or the withdrawal of deposited securities, unless the deposit agreement provides otherwise, if the register for ADRs is closed or if we or the depositary decide any such action is necessary or advisable.</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Deutsche Bank Trust Company Americas will keep books for the registration and transfer of ADRs at its offices. You may reasonably inspect such books, except if you have a purpose other than our business or a matter related to the deposit agreement or the ADRs.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of ADSs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Subject to the provisions of the deposit agreement, the depositary may issue ADSs before deposit of the underlying common shares. This is called a pre-release of the ADS. The depositary may also deliver common shares upon cancellation of pre-released ADSs, even if the ADSs are cancelled before the pre-release transaction has been closed out. A pre-release is closed out as soon as the underlying common shares are delivered to the depositary. The depositary may receive ADSs instead of common shares to close out a pre-release. The depositary may pre-release ADSs only under the following conditions:</w:t>
      </w:r>
    </w:p>
    <w:p>
      <w:pPr>
        <w:spacing w:after="0" w:line="99" w:lineRule="exact"/>
        <w:rPr>
          <w:sz w:val="20"/>
          <w:szCs w:val="20"/>
          <w:color w:val="auto"/>
        </w:rPr>
      </w:pPr>
    </w:p>
    <w:p>
      <w:pPr>
        <w:ind w:left="780" w:right="200" w:hanging="326"/>
        <w:spacing w:after="0" w:line="294" w:lineRule="auto"/>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before or at the time of the pre-release, the person to whom the pre-release is being made must represent to the depositary in writing that it or its customer owns the common shares to be deposited, assigns all beneficial right, title and interest in such shares to the depositary for the benefit of the holders of ADSs, will not take any action with respect to such shares that is inconsistent with the transfer of beneficial ownership (including without the consent of the depositary, disposing of such shares other than in satisfaction of such pre-release) and unconditionally guarantees to deliver such shares or ADSs to the depositary or the custodian as the case may be;</w:t>
      </w:r>
    </w:p>
    <w:p>
      <w:pPr>
        <w:spacing w:after="0" w:line="102" w:lineRule="exact"/>
        <w:rPr>
          <w:rFonts w:ascii="Arial" w:cs="Arial" w:eastAsia="Arial" w:hAnsi="Arial"/>
          <w:sz w:val="16"/>
          <w:szCs w:val="16"/>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indicates the depositary as owner of such shares in its records;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pre-release must be fully collateralized with cash or other collateral that the depositary considers appropriate;</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depositary must be able to close out the pre-release on not more than five business days’ notice;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pre-release is subject to such further indemnities and credit regulations as the depositary deems appropriate.</w:t>
      </w:r>
    </w:p>
    <w:p>
      <w:pPr>
        <w:spacing w:after="0" w:line="18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addition, the depositary will limit the number of ADSs that may be outstanding at any time as a result of pre-release, although the depositary may disregard the limit from time to time as it deems appropriate, including (i) due to a decrease in the aggregate number of ADSs outstanding that causes existing pre-release transactions to temporarily exceed the limit stated above or (ii) where otherwise required by market conditions.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Depositary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Who is the depositary?</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depositary is Deutsche Bank Trust Company Americas. The depositary is a state chartered New York banking corporation and a member of the United States Federal Reserve System, subject to regulation and supervision principally by the United States Federal Reserve Board and the New York State Banking Department. The depositary was incorporated on March 5, 1903 in the State of New York. The registered office of the depositary is located at 60 Wall Street, New York, NY 10005, United States of America and the registered number is BR1026. The principal executive office of the depositary is located at 60 Wall Street, New York NY 10005, United States of America. The depositary operates under the laws and jurisdiction of the State of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64"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Upon completion of this offering, we will have outstanding 7,500,000 ADSs representing approximately 21.3% of our common shares in issue.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common shares or the ADSs, and while application has been made for the ADSs to be listed on the New York Stock Exchange, we cannot assure you that a regular trading market will develop in the ADSs. We do not expect that a trading market will develop for our common shares not represented by the ADSs.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 a registration statement under the Securities Act relating to any ADSs or shares of common shares, or publicly disclose the intention to make any offer, sale, pledge, disposition or filing, without the prior written consent of the representatives for a period of 180 days after the date of this prospectus, except issuances pursuant to the exercise of employee stock options outstanding on the date hereof or pursuant to our dividend reinvestment plan.</w:t>
      </w:r>
    </w:p>
    <w:p>
      <w:pPr>
        <w:spacing w:after="0" w:line="9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officers and directors and certain of our existing shareholders have agreed that they will not offer, sell, contract to sell, pledge or otherwise dispose of, directly or indirectly, any ADSs or shares of common shares or securities convertible into or exchangeable or exercisable for any ADSs or shares of common shares, enter into a transaction that would have the same effect, or enter into any swap, hedge or other arrangement that transfers, in whole or in part, any of the economic consequences of ownership of our ADSs, whether any of these transactions are to be settled by delivery of our ADSs or other securities, in cash or otherwise, or publicly disclose the intention to make any offer, sale, pledge or disposition, or to enter into any transaction, swap, hedge or other arrangement, without, in each case, the prior written consent of the representatives for a period of 180 days after the date of this prospectus. After the expiration of the 180-day period, the common shares or ADSs held by our directors, executive officers or principal shareholders may be sold subject to the restrictions under Rule 144 under the Securities Act or by means of registered public offerings.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180-day lock-up period is subject to adjustment under certain circumstances. If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the representatives waive, in writing, such an extension.</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we have agreed to instruct Deutsche Bank Trust Company Americas, as depositary, not to accept any deposit of any common shares by, or issue any ADSs to, the specified individuals who are our current shareholders or beneficial owners for 180 days after the date of this prospectus (other than in connection with this offering), unless we otherwise instruct. The foregoing restrictions do not apply to the deposit of common shares and the issuance of ADSs in connection with our share incentive plan. The foregoing does not affect the right of ADS holders to cancel their ADSs, withdraw the underlying common shares and re-deposit such shares.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6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general, under Rule 144 as currently in effect, a person (or persons whose shares are aggregated) who has beneficially owned our common shares for at least one year is entitled to sell within any three-month period a number of common shares that does not exceed the greater of the following:</w:t>
      </w:r>
    </w:p>
    <w:p>
      <w:pPr>
        <w:spacing w:after="0" w:line="72" w:lineRule="exact"/>
        <w:rPr>
          <w:sz w:val="20"/>
          <w:szCs w:val="20"/>
          <w:color w:val="auto"/>
        </w:rPr>
      </w:pPr>
    </w:p>
    <w:p>
      <w:pPr>
        <w:ind w:left="780" w:right="42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 of the then outstanding common shares, in the form of ADSs or otherwise, which will equal 1,411,111 common shares immediately after this offering; or</w:t>
      </w:r>
    </w:p>
    <w:p>
      <w:pPr>
        <w:spacing w:after="0" w:line="118"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in the form of ADSs or otherwise, during the four calendar weeks preceding the date on which notice of the sale is filed with the Securities and Exchange Commission.</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Sales under Rule 144 must be made through unsolicited brokers’ transactions. They are also subject to manner of sale provisions, notice requirements and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164"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Under Rule 144(k), a person who is not our affiliate at any time during the three months preceding a sale, and who has beneficially owned the common shares, in the form of ADSs or otherwise, proposed to be sold for at least two years, including the holding period of any prior owner other than an affiliate, is entitled to sell those common shares without complying with the manner of sale, public information, volume limitation or notice provisions of Rule 144. Therefore, unless otherwise restricted, “144(k) shares” may be sold at any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6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general, under Rule 701 of the Securities Act as currently in effect, each of our employees, consultants or advisors who purchases our common shares from us in connection with a compensatory stock plan or other written agreement executed prior to the completion of this offering is eligible to resell such common shares in reliance on Rule 144, but without compliance with some of the restrictions, including the holding period, contained in Rule 144.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Upon completion of this offering, certain holders of our common shares or their transferees will be entitled to request that we register their shares under the Securities Act, following the expiration of the lock-up agreements described above. See “Description of Share Capital—Registration Rights.”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The following discussion of the material Cayman Islands and United States federal income tax consequences of an investment in our ADSs or common shares is based upon laws and relevant interpretations thereof in effect as of the date of this registration statement, all of which are subject to change. This discussion does not deal with all possible tax consequences relating to an investment in our ADSs or common shares, such as the tax consequences under state, local and other tax laws. To the extent that the discussion relates to matters of Cayman Islands tax law, it represents the opinion of Conyers Dill &amp; Pearman, our special Cayman Islands counsel.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There are no exchange control regulations or currency restrictions in the Cayman Islands.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6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following discussion, to the extent that it states legal conclusions and subject to the qualifications herein, represents the opinion of Latham &amp; Watkins LLP, our United States counsel, on the material United States federal income tax consequences of the ownership of our ADSs or common shares as of the date hereof. This discussion applies only to investors that hold the ADSs or common shares as capital assets and that have the U.S. dollar as their functional currency. This discussion is based on the tax laws of the United States as in effect on the date of this Registration Statement and on U.S. Treasury regulations in effect or, in some cases, proposed, as of the date of this Registration Statement,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discussion does not deal with the tax consequences to any particular investor or to persons in special tax situations such as:</w:t>
      </w:r>
    </w:p>
    <w:p>
      <w:pPr>
        <w:spacing w:after="0" w:line="181" w:lineRule="exact"/>
        <w:rPr>
          <w:sz w:val="20"/>
          <w:szCs w:val="20"/>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banks;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broker dealers;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traders that elect to mark to market;</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holding an ADS or common share as part of a straddle, hedging, conversion or integrated transaction;</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voting stock;</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holding ADSs or common shares through partnerships or other pass-through entities; or</w:t>
      </w:r>
    </w:p>
    <w:p>
      <w:pPr>
        <w:spacing w:after="0" w:line="184" w:lineRule="exact"/>
        <w:rPr>
          <w:rFonts w:ascii="Arial" w:cs="Arial" w:eastAsia="Arial" w:hAnsi="Arial"/>
          <w:sz w:val="18"/>
          <w:szCs w:val="18"/>
          <w:color w:val="auto"/>
        </w:rPr>
      </w:pPr>
    </w:p>
    <w:p>
      <w:pPr>
        <w:ind w:left="5580" w:right="1300" w:hanging="5126"/>
        <w:spacing w:after="0" w:line="472" w:lineRule="auto"/>
        <w:tabs>
          <w:tab w:leader="none" w:pos="7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who acquired ADSs or common shares pursuant to the exercise of any employee share option or otherwise as consideration. 124</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PROSPECTIVE PURCHASERS ARE URGED TO CONSULT THEIR TAX ADVISORS ABOUT THE APPLICATION OF THE U.S. FEDERAL TAX RULES TO THEIR PARTICULAR CIRCUMSTANCES AS WELL AS THE STATE AND LOCAL AND FOREIGN TAX CONSEQUENCES TO THEM OF THE PURCHASE, OWNERSHIP AND DISPOSITION OF ADSS OR COMMON SHARES.</w:t>
      </w:r>
    </w:p>
    <w:p>
      <w:pPr>
        <w:spacing w:after="0" w:line="12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discussion below of the United States federal income tax consequences to “U.S. Holders” will apply if you are the beneficial owner of ADSs or common shares and you are, for U.S. federal income tax purposes,</w:t>
      </w:r>
    </w:p>
    <w:p>
      <w:pPr>
        <w:spacing w:after="0" w:line="118" w:lineRule="exact"/>
        <w:rPr>
          <w:sz w:val="20"/>
          <w:szCs w:val="20"/>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84"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organized under the laws of the United States, any State or the District of Columbia;</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84"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that (1) is subject to the supervision of a court within the U.S. and the control of one or more U.S. persons or (2) has a valid election in effect under applicable U.S. Treasury regulations to be treated as a U.S. person.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 terms. If you hold ADSs, you should be treated as the holder of the underlying common shares represented by those ADSs for U.S. federal income tax purposes.</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U.S. Treasury has expressed concerns that parties to whom ADSs are pre-released may be taking actions that are inconsistent with the claiming, by U.S. Holders of ADSs, of foreign tax credits for U.S. federal income tax purposes. Such actions would also be inconsistent with the claiming of the reduced rate of tax applicable to dividends received by certain non-corporate U.S. Holders, as described below. Accordingly, the availability of the reduced tax rate for dividends received by certain non-corporate U.S. Holders could be affected by future actions that may be taken by the U.S. Treasury.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 on the ADSs or Common Shares</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Subject to the passive foreign investment company rules discussed below, the gross amount of all our distributions to you with respect to the ADSs or common shares generally will be included in your gross income as ordinary dividend income on the date of receipt by the depositary, in the case of ADSs, or by you, in the case of common shares, but only to the extent that the distribution is paid out of our current or accumulated earnings and profits (as determined under U.S. federal income tax principles). The dividends will not be eligible for the dividends-received deduction allowed to corporations in respect of dividends received from other U.S. corporations.</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 respect to non-corporate U.S. Holders, including individuals, for taxable years beginning before January 1, 2011, dividends may be “qualified dividend income” which is taxed at the lower applicable capital gains rate provided that (1) the ADSs or common shares are readily tradable on an established securities market in the United States, (2) we are not a passive foreign investment company (as discussed below) for either our taxable year in which the dividend was paid or the preceding taxable year, and (3) certain holding period requirements are met. For this purpose, ADSs listed on the New York Stock Exchange will be considered to be readily tradable on an established securities market in the United States. You should consult your tax advisors regarding the availability of the lower rate for dividends paid with respect to our ADSs or common shares.</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Dividends will constitute foreign source income for foreign tax credit limitation purposes. If the dividends are qualified dividend income (as discussed above), the amount of the dividend taken into account for purposes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of calculating the foreign tax credit limitation will in general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the ADSs or common shares will be “passive income” or, in the case of certain U.S. Holders, “financial services income.” For taxable years beginning after December 31, 2006, dividends distributed by us with respect to ADSs or common shares generally will constitute “passive category income” but could, in the case of certain U.S. Holders, constitute “general category income.”</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 the extent that the amount of the distribution exceeds our current and accumulated earnings and profits (as determined under U.S. federal income tax principles), it will be treated first as a tax-free return of your tax basis in your ADSs or common shares, and to the extent the amount of the distribution exceeds your tax basis, the excess will be taxed as capital gain. We do not intend to calculate our earnings and profits under U.S. federal income tax principles. Therefore, a U.S. Holder should expect that a distribution will generally be treated as a dividend even if that distribution would otherwise be treated as a non-taxable return of capital or as capital gain under the rules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 of Shares</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the passive foreign investment company rules discussed below, you will recognize taxable gain or loss on any sale, exchange or other taxable disposition of an ADS or common share equal to the difference between the amount realized (in U.S. dollars) for the ADS or common share and your tax basis (in U.S. dollars) in the ADS or common share. The gain or loss generally will be capital gain or loss. If you are non-corporate U.S. Holder, including an individual, who has held the ADS or common share for more than one year, you will be eligible for reduced capital gains rates. The deductibility of capital losses is subject to limitations. Any such gain or loss that you recognize generally will be treated as U.S. source income or loss.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5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do not expect to be a passive foreign investment company, or PFIC, for U.S. federal income tax purposes for our current taxable year ending May 31, 2007. Our expectation for our current taxable year is based in part on our estimates of the value of our assets, as determined by estimates of the price of our common shares prior to our listing on the New York Stock Exchange, and the expected price of the ADSs and our common shares following the offering. Our actual PFIC status for our current taxable year will not be determinable until the close of such taxable year. Because PFIC status is a factual determination, our United States counsel expresses no opinion with respect to our PFIC status and also expresses no opinion with respect to our expectations contained in this paragraph. A Non-U.S. corporation is considered a PFIC for any taxable year if either:</w:t>
      </w:r>
    </w:p>
    <w:p>
      <w:pPr>
        <w:spacing w:after="0" w:line="107" w:lineRule="exact"/>
        <w:rPr>
          <w:sz w:val="20"/>
          <w:szCs w:val="20"/>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(the “income test”); or</w:t>
      </w:r>
    </w:p>
    <w:p>
      <w:pPr>
        <w:spacing w:after="0" w:line="184"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least 50% of the value of its assets (based on an average of the quarterly values of the assets during a taxable year) is attributable to assets that produce or are held for the production of passive income (the “assets test”).</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in which we own, directly or indirectly, more than 25% (by value) of the stock.</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must make a separate determination each year as to whether we are a PFIC. As a result, our PFIC status may change. In particular, because the total value of our assets for purposes of the asset test generally will be calculated using the market price of our ADSs and common shares, our passive foreign investment company status will depend in large part on the market price of our ADSs and common shares. Accordingly, our PFIC status may be determined in large part based on the market price of our ADSs and shares which is likely to fluctuate after the offering. In addition, the composition of our income and assets will be affected by how, and how quickly, we spend the cash we raise in this offering. If we are a PFIC for any year during which you hold ADSs or common shares, we generally will continue to be treated as a PFIC for all succeeding years during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which you hold ADSs or common shares. However, if we cease to be a PFIC, you may avoid some of the adverse effects of the PFIC regime by making a deemed sale election with respect to the ADSs or common shares.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we are a PFIC for any taxable year during which you hold ADSs or common shares, you will be subject to special tax rules with respect to any “excess distribution” that you receive and any gain you realize from a sale or other disposition (including a pledge) of the ADSs or common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common shares will be treated as an excess distribution. Under these special tax rules:</w:t>
      </w:r>
    </w:p>
    <w:p>
      <w:pPr>
        <w:spacing w:after="0" w:line="129" w:lineRule="exact"/>
        <w:rPr>
          <w:sz w:val="20"/>
          <w:szCs w:val="20"/>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 for the ADSs or common shares;</w:t>
      </w:r>
    </w:p>
    <w:p>
      <w:pPr>
        <w:spacing w:after="0" w:line="184"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were a PFIC, will be treated as ordinary income; and</w:t>
      </w:r>
    </w:p>
    <w:p>
      <w:pPr>
        <w:spacing w:after="0" w:line="118"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ADSs or common shares cannot be treated as capital, even if you hold the ADSs or common shares as capital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intend to prepare or provide the information that would enable you to make a qualified electing fund election.</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Alternatively, a U.S. Holder of “marketable stock” in a PFIC may make a mark-to-market election for such stock of a PFIC to elect out of the tax treatment discussed above. If you make a valid mark-to-market election for the ADSs or common shares, you will include in income each year an amount equal to the excess, if any, of the fair market value of the ADSs or common shares as of the close of your taxable year over your adjusted basis in such ADSs or common shares. You are allowed a deduction for the excess, if any, of the adjusted basis of the ADSs or common shares over their fair market value as of the close of the taxable year. However, deductions are allowable only to the extent of any net mark-to-market gains on the ADSs or common shares included in your income for prior taxable years. Amounts included in your income under a mark-to-market election, as well as gain on the actual sale or other disposition of the ADSs or common shares, are treated as ordinary income. Ordinary loss treatment also applies to the deductible portion of any mark-to-market loss on the ADSs or common shares, as well as to any loss realized on the actual sale or disposition of the ADSs or common shares, to the extent that the amount of such loss does not exceed the net mark-to-market gains previously included for such ADSs or common shares. Your basis in the ADSs or common shares will be adjusted to reflect any such income or loss amounts. If you make such a mark-to-market election, the tax rules that apply to distributions by corporations which are not PFICs would apply to distributions by us (except that the lower applicable capital gains rate would not apply).</w:t>
      </w:r>
    </w:p>
    <w:p>
      <w:pPr>
        <w:spacing w:after="0" w:line="11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The mark-to-market election is available only for “marketable stock,” which is stock that is traded in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quantities on at least 15 days during each calendar quarter (“regularly traded”) on a qualified exchange or other market, as defined in applicable Treasury regulations. We expect that the ADSs will be listed on the New York Stock Exchange, which is a qualified exchange for these purposes. Consequently, assuming that the ADSs are regularly traded, if you are a holder of ADSs the mark-to-market election would be available to you were we to become a PFIC.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you hold ADSs or common shares in any year in which we are a PFIC, you will be required to file Internal Revenue Service Form 8621 regarding distributions received on the ADSs or common shares and any gain realized on the disposition of the ADSs or common shares.</w:t>
      </w:r>
    </w:p>
    <w:p>
      <w:pPr>
        <w:spacing w:after="0" w:line="72" w:lineRule="exact"/>
        <w:rPr>
          <w:sz w:val="20"/>
          <w:szCs w:val="20"/>
          <w:color w:val="auto"/>
        </w:rPr>
      </w:pPr>
    </w:p>
    <w:p>
      <w:pPr>
        <w:ind w:right="1460" w:firstLine="456"/>
        <w:spacing w:after="0" w:line="422" w:lineRule="auto"/>
        <w:rPr>
          <w:sz w:val="20"/>
          <w:szCs w:val="20"/>
          <w:color w:val="auto"/>
        </w:rPr>
      </w:pPr>
      <w:r>
        <w:rPr>
          <w:rFonts w:ascii="Arial" w:cs="Arial" w:eastAsia="Arial" w:hAnsi="Arial"/>
          <w:sz w:val="18"/>
          <w:szCs w:val="18"/>
          <w:color w:val="auto"/>
        </w:rPr>
        <w:t xml:space="preserve">You are urged to consult your tax advisor regarding the application of the PFIC rules to your investment in ADSs or common shares. </w:t>
      </w:r>
      <w:r>
        <w:rPr>
          <w:rFonts w:ascii="Arial" w:cs="Arial" w:eastAsia="Arial" w:hAnsi="Arial"/>
          <w:sz w:val="18"/>
          <w:szCs w:val="18"/>
          <w:b w:val="1"/>
          <w:bCs w:val="1"/>
          <w:i w:val="1"/>
          <w:iCs w:val="1"/>
          <w:color w:val="auto"/>
        </w:rPr>
        <w:t>Information Reporting and Backup Withholding</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Dividend payments with respect to ADSs or common shares and proceeds from the sale, exchange or redemption of ADSs or common shares may be subject to information reporting to the Internal Revenue Service and possible U.S. backup withholding at a current rate of 28%. Backup withholding will not apply, however, to a U.S. Holder who furnishes a correct taxpayer identification number and makes any other required certification or who is otherwise exempt from backup withholding. U.S. Holders who are required to establish their exempt status generally must provide such certification on Internal Revenue Service Form W-9. U.S. Holders should consult their tax advisors regarding the application of the U.S. information reporting and backup withholding rules.</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timely filing the appropriate claim for refund with the Internal Revenue Service and furnishing any required information.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60"/>
          </w:cols>
          <w:pgMar w:left="240" w:top="459" w:right="3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left="460"/>
        <w:spacing w:after="0"/>
        <w:tabs>
          <w:tab w:leader="none" w:pos="7460" w:val="left"/>
        </w:tabs>
        <w:rPr>
          <w:sz w:val="20"/>
          <w:szCs w:val="20"/>
          <w:color w:val="auto"/>
        </w:rPr>
      </w:pPr>
      <w:r>
        <w:rPr>
          <w:rFonts w:ascii="Arial" w:cs="Arial" w:eastAsia="Arial" w:hAnsi="Arial"/>
          <w:sz w:val="18"/>
          <w:szCs w:val="18"/>
          <w:color w:val="auto"/>
        </w:rPr>
        <w:t>Under the terms and subject to the conditions contained in an underwriting agreement dated</w:t>
      </w:r>
      <w:r>
        <w:rPr>
          <w:sz w:val="20"/>
          <w:szCs w:val="20"/>
          <w:color w:val="auto"/>
        </w:rPr>
        <w:tab/>
      </w:r>
      <w:r>
        <w:rPr>
          <w:rFonts w:ascii="Arial" w:cs="Arial" w:eastAsia="Arial" w:hAnsi="Arial"/>
          <w:sz w:val="15"/>
          <w:szCs w:val="15"/>
          <w:color w:val="auto"/>
        </w:rPr>
        <w:t>, 2006, we have agreed to sell to the underwriters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named below, for whom Credit Suisse Securities (USA) LLC and Goldman Sachs (Asia) L.L.C. are acting as representatives, the following respective numbers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ADSs: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Underwriters</w:t>
            </w:r>
          </w:p>
        </w:tc>
        <w:tc>
          <w:tcPr>
            <w:tcW w:w="50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Number of ADSs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5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Goldman Sachs (Asia) L.L.C.</w:t>
            </w:r>
          </w:p>
        </w:tc>
        <w:tc>
          <w:tcPr>
            <w:tcW w:w="5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5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2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underwriting agreement provides that the underwriters are obligated to purchase all the ADSs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granted to the underwriters a 30-day option to purchase on a pro rata basis up to 1,125,000 additional ADSs from us at the initial public offering price less the underwriting discounts and commissions.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ADSs initially at the public offering price on the cover page of this prospectus and to selling group members at that</w:t>
      </w:r>
    </w:p>
    <w:p>
      <w:pPr>
        <w:spacing w:after="0" w:line="38"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price less a selling concession of US$ per ADS. The underwriters and selling group members may allow a discount of US$ per ADS on sales to other broker/dealers. After the initial public offering, the underwriters may change the public offering price and concession and discount to broker/dealers.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ADS</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Without</w:t>
            </w:r>
          </w:p>
        </w:tc>
        <w:tc>
          <w:tcPr>
            <w:tcW w:w="66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With</w:t>
            </w:r>
          </w:p>
        </w:tc>
        <w:tc>
          <w:tcPr>
            <w:tcW w:w="6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Without</w:t>
            </w:r>
          </w:p>
        </w:tc>
        <w:tc>
          <w:tcPr>
            <w:tcW w:w="66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Over-</w:t>
            </w:r>
          </w:p>
        </w:tc>
        <w:tc>
          <w:tcPr>
            <w:tcW w:w="660" w:type="dxa"/>
            <w:vAlign w:val="bottom"/>
          </w:tcPr>
          <w:p>
            <w:pPr>
              <w:spacing w:after="0"/>
              <w:rPr>
                <w:sz w:val="12"/>
                <w:szCs w:val="12"/>
                <w:color w:val="auto"/>
              </w:rPr>
            </w:pPr>
          </w:p>
        </w:tc>
        <w:tc>
          <w:tcPr>
            <w:tcW w:w="5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Over-</w:t>
            </w:r>
          </w:p>
        </w:tc>
        <w:tc>
          <w:tcPr>
            <w:tcW w:w="6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Over-</w:t>
            </w:r>
          </w:p>
        </w:tc>
        <w:tc>
          <w:tcPr>
            <w:tcW w:w="660" w:type="dxa"/>
            <w:vAlign w:val="bottom"/>
          </w:tcPr>
          <w:p>
            <w:pPr>
              <w:spacing w:after="0"/>
              <w:rPr>
                <w:sz w:val="12"/>
                <w:szCs w:val="12"/>
                <w:color w:val="auto"/>
              </w:rPr>
            </w:pPr>
          </w:p>
        </w:tc>
        <w:tc>
          <w:tcPr>
            <w:tcW w:w="5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3"/>
              </w:rPr>
              <w:t>allotment</w:t>
            </w:r>
          </w:p>
        </w:tc>
        <w:tc>
          <w:tcPr>
            <w:tcW w:w="66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83"/>
              </w:rPr>
              <w:t>allotment</w:t>
            </w:r>
          </w:p>
        </w:tc>
        <w:tc>
          <w:tcPr>
            <w:tcW w:w="68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6"/>
              </w:rPr>
              <w:t>allotment</w:t>
            </w:r>
          </w:p>
        </w:tc>
        <w:tc>
          <w:tcPr>
            <w:tcW w:w="6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6"/>
              </w:rPr>
              <w:t>allotment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230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US$</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US$</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82"/>
        </w:trPr>
        <w:tc>
          <w:tcPr>
            <w:tcW w:w="5440" w:type="dxa"/>
            <w:vAlign w:val="bottom"/>
            <w:gridSpan w:val="2"/>
          </w:tcPr>
          <w:p>
            <w:pPr>
              <w:spacing w:after="0"/>
              <w:rPr>
                <w:sz w:val="20"/>
                <w:szCs w:val="20"/>
                <w:color w:val="auto"/>
              </w:rPr>
            </w:pPr>
            <w:r>
              <w:rPr>
                <w:rFonts w:ascii="Arial" w:cs="Arial" w:eastAsia="Arial" w:hAnsi="Arial"/>
                <w:sz w:val="18"/>
                <w:szCs w:val="18"/>
                <w:color w:val="auto"/>
              </w:rPr>
              <w:t>Expenses payable by us</w:t>
            </w: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US$</w:t>
            </w: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US$</w:t>
            </w: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sales to accounts over which the underwriters have discretionary authority to exceed 5% of the ADSs being offered.</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Some of the underwriters are expected to make offers and sales both inside and outside the United States through their respective selling agents. Any offers or sales in the United States will be conducted by broker-dealers registered with the Securities and Exchange Commission. Goldman Sachs (Asia) L.L.C. is expected to make offers and sales in the United States through its selling agent, Goldman, Sachs &amp; Co.</w:t>
      </w:r>
    </w:p>
    <w:p>
      <w:pPr>
        <w:spacing w:after="0" w:line="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agreed that we will not offer, sell, issue, contract to sell, contract to purchase or grant any option, right or warrant to purchase, pledge or otherwise dispose of, directly or indirectly, or file with the Securities and Exchange Commission a registration statement under the Securities Act relating to any ADSs or common shares or securities convertible into or exchangeable or exercisable for any ADSs or common shares, or enter into any swap, hedge or any other agreement that transfers, in whole or in part, the economic consequences of ownership of any ADSs or common shares or securities convertible into or exchangeable or exercisable for any ADSs or common shares, or establish or increase a put equivalent position or liquidate or decrease a call equivalent position in any ADSs or common shares or securities convertible into or exchangeable or exercisable for any ADSs or common shares within the meaning of Section 16 of the Exchange Act or publicly disclose the intention to take any of the actions mentioned above, without the prior written consent of Credit Suisse Securities (USA) LLC and Goldman Sachs (Asia) L.L.C. for a period of 180 days after the date of this prospectus, except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8"/>
        <w:spacing w:after="0" w:line="291" w:lineRule="auto"/>
        <w:tabs>
          <w:tab w:leader="none" w:pos="249" w:val="left"/>
        </w:tabs>
        <w:numPr>
          <w:ilvl w:val="0"/>
          <w:numId w:val="87"/>
        </w:numPr>
        <w:rPr>
          <w:rFonts w:ascii="Arial" w:cs="Arial" w:eastAsia="Arial" w:hAnsi="Arial"/>
          <w:sz w:val="16"/>
          <w:szCs w:val="16"/>
          <w:color w:val="auto"/>
        </w:rPr>
      </w:pPr>
      <w:r>
        <w:rPr>
          <w:rFonts w:ascii="Arial" w:cs="Arial" w:eastAsia="Arial" w:hAnsi="Arial"/>
          <w:sz w:val="16"/>
          <w:szCs w:val="16"/>
          <w:color w:val="auto"/>
        </w:rPr>
        <w:t>issuance of common shares upon the conversion of convertible securities outstanding on the date of this prospectus and (2) issuances pursuant to the exercise of employee stock options outstanding on the date hereof.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Goldman Sachs (Asia) L.L.C. waive, in writing, such an extension.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executive officers, our directors and certain of our existing shareholders have agreed that they will not offer, sell, contract to sell, contract to purchase or grant any option, right or warrant to purchase, pledge or otherwise dispose of, directly or indirectly, any of our common shares or securities convertible into or exchangeable or exercisable for any of our common shares, or enter into any swap, hedge or other agreement that transfers, in whole or in part, any of the economic consequences of ownership of any ADSs or common shares or securities convertible into or exchangeable or exercisable for any ADSs or common shares, or establish or increase a put equivalent position or liquidate or decrease a call equivalent position in any ADSs or common shares or securities convertible into or exchangeable or exercisable for any ADSs or common shares within the meaning of Section 16 of the Exchange Act, whether any of these transactions are to be settled by delivery of our common shares or other securities, in cash or otherwise, or publicly disclose the intention to take any of the actions mentioned above, without, in each case, the prior written consent of Credit Suisse Securities (USA) LLC and Goldman Sachs (Asia) L.L.C.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Goldman Sachs (Asia) L.L.C. waive, in writing, such an extension.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we have agreed to instruct Deutsche Bank Trust Company Americas, as depositary, not to accept any deposit of any common shares by, or issue any ADSs to, the specified individuals who are our current shareholders or beneficial owners for 180 days after the date of this prospectus (other than in connection with this offering), unless we otherwise instruct. The foregoing restrictions do not apply to the deposit of common shares and the issuance of ADSs in connection with our share incentive plan. The foregoing does not affect the right of ADS holders to cancel their ADSs, withdraw the underlying common shares and re-deposit such shares.</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underwriters have reserved for sale at the initial public offering price up to 320,533 ADSs for employees, directors and other persons associated with us who have expressed an interest in purchasing ADSs in the offering. The number of ADSs available for sale to the general public in the offering will be reduced to the extent these persons purchase the reserved ADSs. Any reserved ADSs not so purchased will be offered by the underwriters to the general public on the same terms as the other ADSs.</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under the Securities Act, or contribute to payments that the underwriters may be required to make in that respect.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the ADSs on the New York Stock Exchange under the symbol “EDU.”</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the listing of the ADSs on the New York Stock Exchange, the underwriters will undertake to sell round lots of 100 shares or more to a minimum of 400 beneficial owners.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Prior to this offering, there has been no public market for the common shares or the ADSs. The initial public offering price has been negotiated among us and the representatives. Among the factors to be considered in determining the initial public offering price of the ADSs, in addition to prevailing market conditions, will be our historical performance, estimates of our business potential and earnings prospects, an assessment of our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management and the consideration of the above factors in relation to market valuation of companies in related businesses.</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118" w:lineRule="exact"/>
        <w:rPr>
          <w:sz w:val="20"/>
          <w:szCs w:val="20"/>
          <w:color w:val="auto"/>
        </w:rPr>
      </w:pPr>
    </w:p>
    <w:p>
      <w:pPr>
        <w:ind w:left="780" w:hanging="326"/>
        <w:spacing w:after="0"/>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207" w:lineRule="exact"/>
        <w:rPr>
          <w:rFonts w:ascii="Arial" w:cs="Arial" w:eastAsia="Arial" w:hAnsi="Arial"/>
          <w:sz w:val="16"/>
          <w:szCs w:val="16"/>
          <w:color w:val="auto"/>
        </w:rPr>
      </w:pPr>
    </w:p>
    <w:p>
      <w:pPr>
        <w:ind w:left="780" w:hanging="326"/>
        <w:spacing w:after="0" w:line="294" w:lineRule="auto"/>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102" w:lineRule="exact"/>
        <w:rPr>
          <w:rFonts w:ascii="Arial" w:cs="Arial" w:eastAsia="Arial" w:hAnsi="Arial"/>
          <w:sz w:val="16"/>
          <w:szCs w:val="16"/>
          <w:color w:val="auto"/>
        </w:rPr>
      </w:pPr>
    </w:p>
    <w:p>
      <w:pPr>
        <w:ind w:left="780" w:right="60" w:hanging="326"/>
        <w:spacing w:after="0" w:line="291" w:lineRule="auto"/>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Syndicate covering transactions involve purchases of the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06" w:lineRule="exact"/>
        <w:rPr>
          <w:rFonts w:ascii="Arial" w:cs="Arial" w:eastAsia="Arial" w:hAnsi="Arial"/>
          <w:sz w:val="16"/>
          <w:szCs w:val="16"/>
          <w:color w:val="auto"/>
        </w:rPr>
      </w:pPr>
    </w:p>
    <w:p>
      <w:pPr>
        <w:ind w:left="900" w:right="32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shares originally sold by the syndicate member are purchased in a stabilizing or syndicate covering transaction to cover syndicate short positions.</w:t>
      </w:r>
    </w:p>
    <w:p>
      <w:pPr>
        <w:spacing w:after="0" w:line="72"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These stabilizing transactions, syndicate covering transactions and penalty bids may have the effect of raising or maintaining the market price of our shares or preventing or retarding a decline in the market price of the shares. As a result the price of our shares may be higher than the price that might otherwise exist in the open market. These transactions may be effected on the New York Stock Exchange or otherwise and, if commenced, may be discontinued at any time.</w:t>
      </w:r>
    </w:p>
    <w:p>
      <w:pPr>
        <w:spacing w:after="0" w:line="7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99"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We expect that delivery of the ADSs will be made against payment therefor on or about , which will be the business day following the date of pricing of the ADSs (this settlement cycle being referred to as “T+ ”). Under Rule 15c6-1 of the Exchange Act, trades in the secondary market generally are required to settle in three business days, unless the parties to any such trade expressly agree otherwise. Accordingly, purchasers who wish to trade the ADSs on</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date of pricing or the next succeeding business days will be required, by virtue of the fact that the ADSs initially will settle in T+ to specify an alternate settlement cycle at the time of any such trade to prevent a failed settlement and should consult their own advisor.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prospectus does not constitute a public offer of the ADSs or common shares, whether by way of sale or subscription, in the Cayman Islands. We will not offer to sell any common shares or ADSs to any member of the public in the Cayman Islands.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ADSs may not be offered to the public in the United Kingdom within the meaning of section 102B of the Financial Services and Markets Act 2000 (as amended), or the FSMA, except to legal entities which have been authorized or regulated to operate in the financial markets or, if not so authorized or regulated, whose corporate purpose is solely to invest in securities or otherwise in circumstances which do not require the publication by the company of a prospectus within the meaning of the Prospectus Rules of the Financial Services Authority. Any invitation or inducement to engage in investment activity (within the meaning of section 21 of the FSMA) has only been communicated or caused to be communicated and will only be communicated or caused to be communicated to persons who have professional experience in matters relating to investments falling within Article 19(5) of the FSMA (Financial Promotion) Order 2005 or in circumstances in which section 21 of the FSMA would not apply to us if we were not an authorized person. In addition, all applicable provisions of the FSMA with respect to anything done in relation to the ADSs in, from or otherwise involving the United Kingdom, have been or will be complied with.</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ADSs may not be offered or sold in Hong Kong, by means of any document, other than to persons whose ordinary business is to buy or sell shares or debentures, whether as principal or agent, or in circumstances which do not constitute an offer to the public within the meaning of the Companies Ordinance (Cap. 32) of Hong Kong. No advertisement, invitation or document relating to the ADSs, whether in Hong Kong or elsewhere, may be issued,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within the meaning of the Securities and Futures Ordinance (Cap. 571) of Hong Kong and any rules made thereunder.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ADSs have not been and will not be registered under the Securities and Exchange Law of Japan (Law No. 235 of 1948 as amended), or the Securities Exchange Law, and disclosure under the Securities Exchange Law has not been and will not be made with respect to the ADSs. Accordingly, the ADSs may not be, directly or indirectly, offered or sold in Japan or to, or for the benefit of, any resident of Japan or to others for re-offering or re-sale, directly or indirectly in Japan or to, or for the benefit of, any resident of Japan except pursuant to an exemption from the registration requirements of, and otherwise in compliance with, the Securities Exchange Law and other relevant laws and regulations of Japan. As used in this paragraph, “resident of Japan” means any person residing in Japan, including any corporation or other entity organized under the laws of Japan.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This prospectus has not been and will not be registered as a prospectus with the Monetary Authority of Singapore under the Securities and Futures Act (Cap. 289) of Singapore, or the Securities and Futures Act. Accordingly the ADSs may not be offered or sold or made the subject of an invitation for subscription or purchase nor may this prospectus or any other document or material in connection with the offer or sale, or invitation for subscription or purchase of such ADSs be circulated or distributed, whether directly or indirectly, to the public or any members of the public in Singapore other than: (1) to an institutional investor or other person falling within Section 274 of the Securities and Futures Act, (2) to a sophisticated investor, and in accordance with the conditions specified in Section 275 of the Securities and Futures Act or (3) pursuant to, and in accordance with the conditions of any other applicable provision of the Securities and Futures Act.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who is:</w:t>
      </w:r>
    </w:p>
    <w:p>
      <w:pPr>
        <w:spacing w:after="0" w:line="77" w:lineRule="exact"/>
        <w:rPr>
          <w:sz w:val="20"/>
          <w:szCs w:val="20"/>
          <w:color w:val="auto"/>
        </w:rPr>
      </w:pPr>
    </w:p>
    <w:p>
      <w:pPr>
        <w:ind w:left="780" w:right="400" w:hanging="326"/>
        <w:spacing w:after="0" w:line="332" w:lineRule="auto"/>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 w:hanging="326"/>
        <w:spacing w:after="0" w:line="256"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(however described) in that trust shall not be transferred within six months after that corporation or that trust has acquired the ADSs pursuant to an offer made under Section 275 of the SFA except:</w:t>
      </w:r>
    </w:p>
    <w:p>
      <w:pPr>
        <w:spacing w:after="0" w:line="129" w:lineRule="exact"/>
        <w:rPr>
          <w:rFonts w:ascii="Arial" w:cs="Arial" w:eastAsia="Arial" w:hAnsi="Arial"/>
          <w:sz w:val="18"/>
          <w:szCs w:val="18"/>
          <w:color w:val="auto"/>
        </w:rPr>
      </w:pPr>
    </w:p>
    <w:p>
      <w:pPr>
        <w:ind w:left="1260" w:right="40" w:hanging="455"/>
        <w:spacing w:after="0" w:line="294" w:lineRule="auto"/>
        <w:tabs>
          <w:tab w:leader="none" w:pos="12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02" w:lineRule="exact"/>
        <w:rPr>
          <w:rFonts w:ascii="Arial" w:cs="Arial" w:eastAsia="Arial" w:hAnsi="Arial"/>
          <w:sz w:val="16"/>
          <w:szCs w:val="16"/>
          <w:color w:val="auto"/>
        </w:rPr>
      </w:pPr>
    </w:p>
    <w:p>
      <w:pPr>
        <w:ind w:left="1260" w:hanging="455"/>
        <w:spacing w:after="0"/>
        <w:tabs>
          <w:tab w:leader="none" w:pos="12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84" w:lineRule="exact"/>
        <w:rPr>
          <w:rFonts w:ascii="Arial" w:cs="Arial" w:eastAsia="Arial" w:hAnsi="Arial"/>
          <w:sz w:val="18"/>
          <w:szCs w:val="18"/>
          <w:color w:val="auto"/>
        </w:rPr>
      </w:pPr>
    </w:p>
    <w:p>
      <w:pPr>
        <w:ind w:left="1260" w:hanging="455"/>
        <w:spacing w:after="0"/>
        <w:tabs>
          <w:tab w:leader="none" w:pos="12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and effective as of the date on which the Prospectus Directive is implemented in that Relevant Member State (the Relevant Implementation Date), no ADSs has been offered to the public in that Relevant Member State prior to the publication of a prospectus in relation to the ADSs which has been approved by the competent authority in that Relevant Member State or, where appropriate, approved in another Relevant Member State and brought to the attention of the competent authority in that Relevant Member State, all in accordance with the Prospectus Directive. Notwithstanding the foregoing, an offer of ADSs may be made effective as of the Relevant Implementation Date to the public in that Relevant Member State at any time: (1) to legal entities which are authorized or regulated to operate in the financial markets or, if not so authorized or regulated, whose corporate purpose is solely to invest in securities; (2) to any legal entity which has two or more of (a) an average of at least 250 employees during the last financial year; (b) a total balance sheet of more than €43,000,000 and (c) an annual net turnover of more than €50,000,000, as shown in its last annual or consolidated accounts; or (3) in any other circumstances which do not require the publication by the issuer of a prospectus pursuant to Article 3 of the Prospectus Directive. For the purposes of this paragraph, the expression an “offer of ADSs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1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rules and regulations of any such country or jurisdiction.</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Some of the underwriters and their affiliates have provided, and may in the future provide, investment banking and other services to us, our officers or our directors.</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Credit Suisse Securities (USA) LLC is acting as the sole global coordinator and Credit Suisse Securities (USA) LLC and Goldman Sachs (Asia) L.L.C. are acting as the joint bookrunners for this offering. The address of Credit Suisse Securities (USA) LLC is Eleven Madison Avenue, New York, NY 10010-3629 and the address of Goldman Sachs (Asia) L.L.C. is 68th Floor, Cheung Kong Center, 2 Queen’s Road, Central, Hong Kong.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TO CANADIAN RESIDENTS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15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distribution of the ADSs in Canada is being made only on a private placement basis exempt from the requirement that we prepare and file a prospectus with the securities regulatory authorities in each province where trades of ADSs are made. Any resale of the ADSs in Canada must be made under applicable securities laws which will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ADSs.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of Purchasers</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By purchasing the ADSs in Canada and accepting a purchase confirmation a purchaser is representing to us and the dealer from whom the purchase confirmation is received that:</w:t>
      </w:r>
    </w:p>
    <w:p>
      <w:pPr>
        <w:spacing w:after="0" w:line="118" w:lineRule="exact"/>
        <w:rPr>
          <w:sz w:val="20"/>
          <w:szCs w:val="20"/>
          <w:color w:val="auto"/>
        </w:rPr>
      </w:pPr>
    </w:p>
    <w:p>
      <w:pPr>
        <w:ind w:left="780" w:right="34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the ADSs without the benefit of a prospectus qualified under those securities laws,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the ADSs to the regulatory authority that by law is entitled to collect the information.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details concerning the legal authority for this information is available on request.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Action—Ontario Purchasers Only</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the ADSs, for rescission against us in the event that this prospectus ADSs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ADSs. The right of action for rescission is exercisable not later than 180 days from the date on which payment is made for the ADSs. If a purchaser elects to exercise the right of action for rescission, the purchaser will have no right of action for damages against us. In no case will the amount recoverable in any action exceed the price at which the ADSs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the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Legal Rights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Eligibility for Investment</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24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RELATING TO THIS OFFERING</w:t>
      </w:r>
    </w:p>
    <w:p>
      <w:pPr>
        <w:spacing w:after="0" w:line="16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National Association of Securities Dealers, Inc. filing fee and the New York Stock Exchange listing fee, all amounts are estimates.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840" w:type="dxa"/>
            <w:vAlign w:val="bottom"/>
            <w:gridSpan w:val="2"/>
          </w:tcPr>
          <w:p>
            <w:pPr>
              <w:spacing w:after="0"/>
              <w:rPr>
                <w:sz w:val="20"/>
                <w:szCs w:val="20"/>
                <w:color w:val="auto"/>
              </w:rPr>
            </w:pPr>
            <w:r>
              <w:rPr>
                <w:rFonts w:ascii="Arial" w:cs="Arial" w:eastAsia="Arial" w:hAnsi="Arial"/>
                <w:sz w:val="18"/>
                <w:szCs w:val="18"/>
                <w:color w:val="auto"/>
              </w:rPr>
              <w:t>NYSE Listing Fee</w:t>
            </w:r>
          </w:p>
        </w:tc>
        <w:tc>
          <w:tcPr>
            <w:tcW w:w="5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8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National Association of Securities Dealers, Inc. Filing Fee</w:t>
            </w: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84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5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8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8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5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1,100,000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8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2,973,713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5560" w:type="dxa"/>
            <w:vAlign w:val="bottom"/>
            <w:vMerge w:val="restart"/>
          </w:tcPr>
          <w:p>
            <w:pPr>
              <w:jc w:val="right"/>
              <w:ind w:right="4472"/>
              <w:spacing w:after="0"/>
              <w:rPr>
                <w:sz w:val="20"/>
                <w:szCs w:val="20"/>
                <w:color w:val="auto"/>
              </w:rPr>
            </w:pPr>
            <w:r>
              <w:rPr>
                <w:rFonts w:ascii="Arial" w:cs="Arial" w:eastAsia="Arial" w:hAnsi="Arial"/>
                <w:sz w:val="18"/>
                <w:szCs w:val="18"/>
                <w:color w:val="auto"/>
              </w:rPr>
              <w:t>136</w:t>
            </w:r>
          </w:p>
        </w:tc>
        <w:tc>
          <w:tcPr>
            <w:tcW w:w="3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validity of the ADSs and certain other legal matters in connection with this offering will be passed upon for us by Latham &amp; Watkins LLP. Certain legal matters in connection with this offering will be passed upon for the underwriters by Shearman &amp; Sterling LLP. The validity of the common shares represented by the ADSs offered in this offering will be passed upon for us by Conyers Dill &amp; Pearman. Legal matters as to PRC law will be passed upon for us by Tian Yuan Law Firm and for the underwriters by Haiwen &amp; Partners. Latham &amp; Watkins LLP may rely upon Conyers Dill &amp; Pearman with respect to matters governed by Cayman Islands’ law and Tian Yuan Law Firm with respect to matters governed by PRC law. Shearman &amp; Sterling LLP may rely upon Haiwen &amp; Partners with respect to matters governed by PRC law.</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included in this prospectus and related financial statement schedule included elsewhere in the registration statement for New Oriental Education &amp; Technology Group Inc. have been audited by Deloitte Touche Tohmatsu CPA Ltd., an independent registered public accounting firm, as set forth in their report appearing herein, which report expressed an unqualified opinion with an explanatory paragraph which comprehended the translation of Renminbi amounts to United States dollar amounts, and are included in reliance upon such report given on the authority of such firm as experts in accounting and auditing.</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offices of Deloitte Touche Tohmatsu CPA Ltd. are located at 8/F Office Tower W2, The Towers, Oriental Plaza, 1 East Chang An Avenue, Beijing 100738, People’s Republic of China.</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20"/>
          </w:cols>
          <w:pgMar w:left="24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filed with the SEC a registration statement on Form F-1, including relevant exhibits and securities under the Securities Act with respect to underlying common shares represented by the ADSs, to be sold in this offering. We have also filed with the SEC a related registration statement on F-6 to register the ADSs. This prospectus, which constitutes a part of the registration statement, does not contain all of the information contained in the registration statement. You should read the registration statement on Form F-1 and its exhibits and schedules for further information with respect to us and our ADSs.</w:t>
      </w:r>
    </w:p>
    <w:p>
      <w:pPr>
        <w:spacing w:after="0" w:line="99"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Immediately upon completion of this offering we will become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All information filed with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You may also obtain additional information over the Internet at the SEC’s website at www.sec.gov.</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15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940" w:type="dxa"/>
            <w:vAlign w:val="bottom"/>
            <w:gridSpan w:val="9"/>
          </w:tcPr>
          <w:p>
            <w:pPr>
              <w:spacing w:after="0"/>
              <w:rPr>
                <w:sz w:val="20"/>
                <w:szCs w:val="20"/>
                <w:color w:val="auto"/>
              </w:rPr>
            </w:pPr>
            <w:r>
              <w:rPr>
                <w:rFonts w:ascii="Arial" w:cs="Arial" w:eastAsia="Arial" w:hAnsi="Arial"/>
                <w:sz w:val="14"/>
                <w:szCs w:val="14"/>
                <w:b w:val="1"/>
                <w:bCs w:val="1"/>
                <w:color w:val="auto"/>
              </w:rPr>
              <w:t>Contents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Page(s)</w:t>
            </w:r>
          </w:p>
        </w:tc>
      </w:tr>
      <w:tr>
        <w:trPr>
          <w:trHeight w:val="95"/>
        </w:trPr>
        <w:tc>
          <w:tcPr>
            <w:tcW w:w="76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277"/>
        </w:trPr>
        <w:tc>
          <w:tcPr>
            <w:tcW w:w="10940" w:type="dxa"/>
            <w:vAlign w:val="bottom"/>
            <w:gridSpan w:val="9"/>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Consolidated Balance Sheets as of May 31, 2004, 2005 and 2006</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Consolidated Statements of Operations for the Years Ended May 31, 2004, 2005 and 2006</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90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49">
              <w:r>
                <w:rPr>
                  <w:rFonts w:ascii="Arial" w:cs="Arial" w:eastAsia="Arial" w:hAnsi="Arial"/>
                  <w:sz w:val="18"/>
                  <w:szCs w:val="18"/>
                  <w:color w:val="0000EE"/>
                  <w:w w:val="87"/>
                </w:rPr>
                <w:t>Consolidated Statements of Shareholders’ Equity and Comprehensive Income for the Years Ended May 31, 2004, 2005 and 2006</w:t>
              </w:r>
            </w:hyperlink>
          </w:p>
        </w:tc>
        <w:tc>
          <w:tcPr>
            <w:tcW w:w="18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63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50">
              <w:r>
                <w:rPr>
                  <w:rFonts w:ascii="Arial" w:cs="Arial" w:eastAsia="Arial" w:hAnsi="Arial"/>
                  <w:sz w:val="18"/>
                  <w:szCs w:val="18"/>
                  <w:color w:val="0000EE"/>
                  <w:w w:val="87"/>
                </w:rPr>
                <w:t>Consolidated Statements of Cash Flows for the years Ended May 31, 2004, 2005 and 2006</w:t>
              </w:r>
            </w:hyperlink>
          </w:p>
        </w:tc>
        <w:tc>
          <w:tcPr>
            <w:tcW w:w="456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Notes to Consolidated Financial Statements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Additional Information—Financial Statement Schedule 1</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F-34</w:t>
            </w:r>
          </w:p>
        </w:tc>
      </w:tr>
      <w:tr>
        <w:trPr>
          <w:trHeight w:val="383"/>
        </w:trPr>
        <w:tc>
          <w:tcPr>
            <w:tcW w:w="76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60" w:type="dxa"/>
            <w:vAlign w:val="bottom"/>
            <w:gridSpan w:val="4"/>
          </w:tcPr>
          <w:p>
            <w:pPr>
              <w:ind w:left="102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Oriental Education &amp; Technology Group Inc.</w:t>
      </w:r>
    </w:p>
    <w:p>
      <w:pPr>
        <w:spacing w:after="0" w:line="15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have audited the accompanying consolidated balance sheets of New Oriental Education &amp; Technology Group Inc. and its subsidiaries (collectively the “Group”) as of May 31, 2004, 2005 and 2006 and the related consolidated statements of operations, shareholders’ equity and cash flows for the years ended May 31, 2004, 2005 and 2006, and related financial statement schedule included in Schedule 1. These financial statements and related financial statement schedule are the responsibility of the Group’s management. Our responsibility is to express an opinion on these consolidated financial statements based on our audits.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Group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Group’s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New Oriental Education &amp; Technology Group Inc. and its subsidiaries as of May 31, 2004, 2005 and 2006 and the results of its operations and its cash flows for the above stated periods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99"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Our audits also comprehended the translation of Renminbi amounts into United States dollar amounts and, in our opinion, such translation has been made in conformity with the basis stated in Note 2. Such United States dollar amounts are presented solely for the convenience of the readers.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CPA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Touche Tohmatsu CPA Ltd.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Beijing, China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10, 2006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 of May 31,</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As of May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2"/>
                <w:szCs w:val="22"/>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2"/>
                <w:szCs w:val="22"/>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2"/>
                <w:szCs w:val="22"/>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RMB</w:t>
            </w: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auto"/>
              </w:rPr>
              <w:t>RMB</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RMB</w:t>
            </w: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RMB</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(Note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208,459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332,261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261,854</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$ 32,655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261,854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32,655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11,837</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3,721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deposits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23,500</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 of allowance of nil for 2004, 2005 and 2006</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1,484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2,398</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3,035</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3,035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25,977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25,905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36,418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36,418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15,402</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27,851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35,655</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4,446</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35,655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assets of discontinued operations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25,627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312,286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409,536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339,962</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42,395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339,962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748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182,166</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658,153</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706,565</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88,114</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706,565</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88,114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 use right, net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26,564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26,010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25,456</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25,456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Deposit for acquiring property and equipment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136,479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6,932</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1,175</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1,175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due from related parties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8,527</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Deferred tax assets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984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2,912</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5,163</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644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5,163</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 term prepaid rent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Trade mark</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1,637</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1,637</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assets of discontinued operations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6"/>
              </w:rPr>
              <w:t>662,922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1,113,312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1,089,562</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135,876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1,089,562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135,876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AND SHAREHOLDERS’ EQUITY</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Short-term borrowings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Notes payable-trade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10,837</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721</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payable-trade</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22,051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24,836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36,183</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36,183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53,842</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113,281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91,596</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11,423</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91,596</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11,423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 payable</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Income tax payable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1,183</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3,285</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9,151</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1,141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9,151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36,436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47,603</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47,603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Amount due to related parties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10,200</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169,914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190,617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244,524</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30,494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244,524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ind w:left="200"/>
              <w:spacing w:after="0"/>
              <w:rPr>
                <w:sz w:val="20"/>
                <w:szCs w:val="20"/>
                <w:color w:val="auto"/>
              </w:rPr>
            </w:pPr>
            <w:r>
              <w:rPr>
                <w:rFonts w:ascii="Arial" w:cs="Arial" w:eastAsia="Arial" w:hAnsi="Arial"/>
                <w:sz w:val="14"/>
                <w:szCs w:val="14"/>
                <w:color w:val="auto"/>
              </w:rPr>
              <w:t>Current liabilities of discontinued operations</w:t>
            </w:r>
          </w:p>
        </w:tc>
        <w:tc>
          <w:tcPr>
            <w:tcW w:w="460" w:type="dxa"/>
            <w:vAlign w:val="bottom"/>
          </w:tcPr>
          <w:p>
            <w:pPr>
              <w:jc w:val="right"/>
              <w:spacing w:after="0"/>
              <w:rPr>
                <w:sz w:val="20"/>
                <w:szCs w:val="20"/>
                <w:color w:val="auto"/>
              </w:rPr>
            </w:pPr>
            <w:r>
              <w:rPr>
                <w:rFonts w:ascii="Arial" w:cs="Arial" w:eastAsia="Arial" w:hAnsi="Arial"/>
                <w:sz w:val="14"/>
                <w:szCs w:val="14"/>
                <w:color w:val="auto"/>
              </w:rPr>
              <w:t>28,671</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46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liabilities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376,698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447,354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465,218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58,016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465,218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480" w:type="dxa"/>
            <w:vAlign w:val="bottom"/>
            <w:gridSpan w:val="2"/>
          </w:tcPr>
          <w:p>
            <w:pPr>
              <w:spacing w:after="0"/>
              <w:rPr>
                <w:sz w:val="20"/>
                <w:szCs w:val="20"/>
                <w:color w:val="auto"/>
              </w:rPr>
            </w:pPr>
            <w:r>
              <w:rPr>
                <w:rFonts w:ascii="Arial" w:cs="Arial" w:eastAsia="Arial" w:hAnsi="Arial"/>
                <w:sz w:val="14"/>
                <w:szCs w:val="14"/>
                <w:color w:val="auto"/>
              </w:rPr>
              <w:t>Long-term debt, less current portion</w:t>
            </w:r>
          </w:p>
        </w:tc>
        <w:tc>
          <w:tcPr>
            <w:tcW w:w="460" w:type="dxa"/>
            <w:vAlign w:val="bottom"/>
          </w:tcPr>
          <w:p>
            <w:pPr>
              <w:jc w:val="right"/>
              <w:spacing w:after="0"/>
              <w:rPr>
                <w:sz w:val="20"/>
                <w:szCs w:val="20"/>
                <w:color w:val="auto"/>
              </w:rPr>
            </w:pPr>
            <w:r>
              <w:rPr>
                <w:rFonts w:ascii="Arial" w:cs="Arial" w:eastAsia="Arial" w:hAnsi="Arial"/>
                <w:sz w:val="14"/>
                <w:szCs w:val="14"/>
                <w:color w:val="auto"/>
              </w:rPr>
              <w:t>54,500</w:t>
            </w: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179,685</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102,638</w:t>
            </w: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12,800</w:t>
            </w: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102,638</w:t>
            </w: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liabilities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179,685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102,638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102,638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interest—continuing operations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Minority interest—discontinued operation</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(106)</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46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439,042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629,186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568,056</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70,841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568,056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Commitments (note 16)</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60" w:type="dxa"/>
            <w:vAlign w:val="bottom"/>
          </w:tcPr>
          <w:p>
            <w:pPr>
              <w:ind w:left="200"/>
              <w:spacing w:after="0" w:line="138" w:lineRule="exact"/>
              <w:rPr>
                <w:sz w:val="20"/>
                <w:szCs w:val="20"/>
                <w:color w:val="auto"/>
              </w:rPr>
            </w:pPr>
            <w:r>
              <w:rPr>
                <w:rFonts w:ascii="Arial" w:cs="Arial" w:eastAsia="Arial" w:hAnsi="Arial"/>
                <w:sz w:val="14"/>
                <w:szCs w:val="14"/>
                <w:color w:val="auto"/>
                <w:w w:val="87"/>
              </w:rPr>
              <w:t>Series A convertible preferred shares (US$0.01 par value; 11,111,111 shares authorized in 2005 and 2006; 11,111,111 and nil shares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w w:val="88"/>
              </w:rPr>
              <w:t>issued and outstanding in 2005 and 2006) (nil shares issued and outstanding on a pro forma basis (unaudited)) (liquidation value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60" w:type="dxa"/>
            <w:vAlign w:val="bottom"/>
          </w:tcPr>
          <w:p>
            <w:pPr>
              <w:ind w:left="420"/>
              <w:spacing w:after="0" w:line="159" w:lineRule="exact"/>
              <w:rPr>
                <w:sz w:val="20"/>
                <w:szCs w:val="20"/>
                <w:color w:val="auto"/>
              </w:rPr>
            </w:pPr>
            <w:r>
              <w:rPr>
                <w:rFonts w:ascii="Arial" w:cs="Arial" w:eastAsia="Arial" w:hAnsi="Arial"/>
                <w:sz w:val="14"/>
                <w:szCs w:val="14"/>
                <w:color w:val="auto"/>
              </w:rPr>
              <w:t>US$22,500)</w:t>
            </w:r>
          </w:p>
        </w:tc>
        <w:tc>
          <w:tcPr>
            <w:tcW w:w="6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920</w:t>
            </w: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920</w:t>
            </w:r>
          </w:p>
        </w:tc>
        <w:tc>
          <w:tcPr>
            <w:tcW w:w="1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114</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2"/>
              </w:rPr>
              <w:t>Common shares (US$0.01 par value; 150,000,000 shares authorized in 2004, 2005 and 2006; 100,000,000 shares issued and</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7"/>
              </w:rPr>
              <w:t>outstanding in 2004, 2005 and 2006) (111,111,111 shares issued and outstanding on a pro forma basis (unaudited))</w:t>
            </w:r>
          </w:p>
        </w:tc>
        <w:tc>
          <w:tcPr>
            <w:tcW w:w="6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8,277</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8,277</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1,032</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9,197</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1,146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81,390</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255,945</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309,519</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38,599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309,519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38,599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Retained earnings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142,490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218,984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202,871</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202,871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(81)</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(81)</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46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shareholders’ equity</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223,880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484,126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521,506</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65,035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521,506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6"/>
              </w:rPr>
              <w:t>662,922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1,113,312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1,089,562</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135,876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1,089,562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135,876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-3965575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-3965575</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-3965575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-3965575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-3965575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-3965575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-3965575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-3965575</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-3965575</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-3965575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-3965575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-3965575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-3965575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-3965575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 May 31,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6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21"/>
                <w:szCs w:val="21"/>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RMB</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200"/>
              <w:spacing w:after="0" w:line="149" w:lineRule="exact"/>
              <w:rPr>
                <w:sz w:val="20"/>
                <w:szCs w:val="20"/>
                <w:color w:val="auto"/>
              </w:rPr>
            </w:pPr>
            <w:r>
              <w:rPr>
                <w:rFonts w:ascii="Arial" w:cs="Arial" w:eastAsia="Arial" w:hAnsi="Arial"/>
                <w:sz w:val="14"/>
                <w:szCs w:val="14"/>
                <w:color w:val="auto"/>
              </w:rPr>
              <w:t>Educational programs and services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430,398</w:t>
            </w: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606,812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721,497</w:t>
            </w: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89,976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Books and others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11,411</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36,458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revenues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441,809</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643,270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770,259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costs and expenses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200"/>
              <w:spacing w:after="0" w:line="149" w:lineRule="exact"/>
              <w:rPr>
                <w:sz w:val="20"/>
                <w:szCs w:val="20"/>
                <w:color w:val="auto"/>
              </w:rPr>
            </w:pPr>
            <w:r>
              <w:rPr>
                <w:rFonts w:ascii="Arial" w:cs="Arial" w:eastAsia="Arial" w:hAnsi="Arial"/>
                <w:sz w:val="14"/>
                <w:szCs w:val="14"/>
                <w:color w:val="auto"/>
              </w:rPr>
              <w:t>Cost of revenues</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(191,007)</w:t>
            </w:r>
          </w:p>
        </w:tc>
        <w:tc>
          <w:tcPr>
            <w:tcW w:w="96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(273,690)</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(320,895)</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and marketing</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(41,613)</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(50,716)</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(82,121)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6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(163,470)</w:t>
            </w:r>
          </w:p>
        </w:tc>
        <w:tc>
          <w:tcPr>
            <w:tcW w:w="960" w:type="dxa"/>
            <w:vAlign w:val="bottom"/>
            <w:gridSpan w:val="4"/>
          </w:tcPr>
          <w:p>
            <w:pPr>
              <w:jc w:val="right"/>
              <w:ind w:right="220"/>
              <w:spacing w:after="0"/>
              <w:rPr>
                <w:sz w:val="20"/>
                <w:szCs w:val="20"/>
                <w:color w:val="auto"/>
              </w:rPr>
            </w:pPr>
            <w:r>
              <w:rPr>
                <w:rFonts w:ascii="Arial" w:cs="Arial" w:eastAsia="Arial" w:hAnsi="Arial"/>
                <w:sz w:val="14"/>
                <w:szCs w:val="14"/>
                <w:color w:val="auto"/>
              </w:rPr>
              <w:t>(207,767)</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(303,084)</w:t>
            </w: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(37,797)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costs and expenses</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(396,090)</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(532,173)</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(706,100)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(88,056)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45,719</w:t>
            </w:r>
          </w:p>
        </w:tc>
        <w:tc>
          <w:tcPr>
            <w:tcW w:w="2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111,097</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64,159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4,127</w:t>
            </w: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2,332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(3,088)</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(6,338)</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(9,837)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Miscellaneous income (expense)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2,541</w:t>
            </w: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loss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(3,065)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before income taxes and minority interest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49,299</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109,193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53,725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(3,622)</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(7,772)</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(16,173)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60" w:type="dxa"/>
            <w:vAlign w:val="bottom"/>
          </w:tcPr>
          <w:p>
            <w:pPr>
              <w:ind w:left="200"/>
              <w:spacing w:after="0"/>
              <w:rPr>
                <w:sz w:val="20"/>
                <w:szCs w:val="20"/>
                <w:color w:val="auto"/>
              </w:rPr>
            </w:pPr>
            <w:r>
              <w:rPr>
                <w:rFonts w:ascii="Arial" w:cs="Arial" w:eastAsia="Arial" w:hAnsi="Arial"/>
                <w:sz w:val="14"/>
                <w:szCs w:val="14"/>
                <w:color w:val="auto"/>
              </w:rPr>
              <w:t>Deferred</w:t>
            </w:r>
          </w:p>
        </w:tc>
        <w:tc>
          <w:tcPr>
            <w:tcW w:w="680" w:type="dxa"/>
            <w:vAlign w:val="bottom"/>
          </w:tcPr>
          <w:p>
            <w:pPr>
              <w:jc w:val="right"/>
              <w:spacing w:after="0"/>
              <w:rPr>
                <w:sz w:val="20"/>
                <w:szCs w:val="20"/>
                <w:color w:val="auto"/>
              </w:rPr>
            </w:pPr>
            <w:r>
              <w:rPr>
                <w:rFonts w:ascii="Arial" w:cs="Arial" w:eastAsia="Arial" w:hAnsi="Arial"/>
                <w:sz w:val="14"/>
                <w:szCs w:val="14"/>
                <w:color w:val="auto"/>
              </w:rPr>
              <w:t>985</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1,928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2,250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(2,637)</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(5,844)</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(13,923)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 net of tax</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(220)</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46,442</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103,252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39,790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Discontinued operations (Note 3):</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 net of tax of RMB447, RMB5,361 and RMB1,693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7,346</w:t>
            </w: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41,155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9,595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 of discontinued operations, net of tax</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(1,399)</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(2,433)</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on discontinued operations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5,947</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38,722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9,595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52,389</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Dividend in kind</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(25,526)</w:t>
            </w: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(3,183)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attributable to holders of common shares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52,389</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23,859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per share—basic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0.52</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per share—diluted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0.52</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basic net income per share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diluted net income per share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104,840,183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111,111,111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per common share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0.27</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income per share on an as converted basis, basic (unaudited) (Note 2)</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income per share on an as converted basis, diluted (unaudited) (Note 2)</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pro forma per share amounts on an as converted basis, basic (unaudited) (Note 2)</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111,111,111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pro forma per share amounts on an as converted basis, diluted (unaudited) (Note 2)</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111,111,111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 included in:</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200"/>
              <w:spacing w:after="0" w:line="149" w:lineRule="exact"/>
              <w:rPr>
                <w:sz w:val="20"/>
                <w:szCs w:val="20"/>
                <w:color w:val="auto"/>
              </w:rPr>
            </w:pPr>
            <w:r>
              <w:rPr>
                <w:rFonts w:ascii="Arial" w:cs="Arial" w:eastAsia="Arial" w:hAnsi="Arial"/>
                <w:sz w:val="14"/>
                <w:szCs w:val="14"/>
                <w:color w:val="auto"/>
              </w:rPr>
              <w:t>Cost of revenues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and marketing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6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680" w:type="dxa"/>
            <w:vAlign w:val="bottom"/>
          </w:tcPr>
          <w:p>
            <w:pPr>
              <w:jc w:val="right"/>
              <w:spacing w:after="0"/>
              <w:rPr>
                <w:sz w:val="20"/>
                <w:szCs w:val="20"/>
                <w:color w:val="auto"/>
              </w:rPr>
            </w:pPr>
            <w:r>
              <w:rPr>
                <w:rFonts w:ascii="Arial" w:cs="Arial" w:eastAsia="Arial" w:hAnsi="Arial"/>
                <w:sz w:val="14"/>
                <w:szCs w:val="14"/>
                <w:color w:val="auto"/>
              </w:rPr>
              <w:t>16,168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62,655</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7,816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-2846705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-2846705</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-2846705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-2846705</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-2846705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-2846705</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-2846705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-2846705</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-2846705</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-2546350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-2546350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-2546350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-2546350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-2546350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-2546350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-2546350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-2546350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-2546350</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-2289175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-2289175</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-2289175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-2289175</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-2289175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-2289175</wp:posOffset>
            </wp:positionV>
            <wp:extent cx="68135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135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-2032000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-2032000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-2032000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-2032000</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-2032000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-2032000</wp:posOffset>
            </wp:positionV>
            <wp:extent cx="3873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-2032000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-2032000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-2032000</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-1774825</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-1774825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-1774825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-1774825</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-1774825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-1774825</wp:posOffset>
            </wp:positionV>
            <wp:extent cx="68135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135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-1517015</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-1517015</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-1517015</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-1517015</wp:posOffset>
            </wp:positionV>
            <wp:extent cx="3873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-1517015</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-1517015</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-1517015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-1517015</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-1517015</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-1259840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-1259840</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-1259840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-1259840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-1259840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-1002665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-1002665</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-1002665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-1002665</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-1002665</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-745490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-745490</wp:posOffset>
            </wp:positionV>
            <wp:extent cx="3873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-745490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-745490</wp:posOffset>
            </wp:positionV>
            <wp:extent cx="2159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-745490</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-488315</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-488315</wp:posOffset>
            </wp:positionV>
            <wp:extent cx="3873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-488315</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-488315</wp:posOffset>
            </wp:positionV>
            <wp:extent cx="2159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-488315</wp:posOffset>
            </wp:positionV>
            <wp:extent cx="3873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945"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other</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convertible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paid-in</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Retained</w:t>
            </w: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shareholders’</w:t>
            </w: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preferred shares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1"/>
              </w:rPr>
              <w:t>Common shares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capital</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earnings</w:t>
            </w:r>
          </w:p>
        </w:tc>
        <w:tc>
          <w:tcPr>
            <w:tcW w:w="260" w:type="dxa"/>
            <w:vAlign w:val="bottom"/>
          </w:tcPr>
          <w:p>
            <w:pPr>
              <w:spacing w:after="0"/>
              <w:rPr>
                <w:sz w:val="15"/>
                <w:szCs w:val="15"/>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8"/>
              </w:rPr>
              <w:t>loss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equity</w:t>
            </w:r>
          </w:p>
        </w:tc>
        <w:tc>
          <w:tcPr>
            <w:tcW w:w="24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Unrestricted</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Restricted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RMB</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Shares</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RMB</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RMB</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RMB</w:t>
            </w:r>
          </w:p>
        </w:tc>
        <w:tc>
          <w:tcPr>
            <w:tcW w:w="260" w:type="dxa"/>
            <w:vAlign w:val="bottom"/>
          </w:tcPr>
          <w:p>
            <w:pPr>
              <w:spacing w:after="0"/>
              <w:rPr>
                <w:sz w:val="14"/>
                <w:szCs w:val="14"/>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RMB</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June 1, 2003</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91,000,000</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9,000,000</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22,931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157,401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180,332</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Increase of capital by dividend</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1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(40,000)</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Issuance of restricted shares to employees</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18,459</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18,459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(27,300)</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(27,300)</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52,389</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May 31, 2004</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91,000,000</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9,000,000</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81,390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142,490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223,880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Issuance of common shares to Incorporate</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 Oriental Education &amp; Technology</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Group Inc.</w:t>
            </w: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8,277</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(7,449)</w:t>
            </w: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828</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w w:val="99"/>
              </w:rPr>
              <w:t>Issuance of Series A convertible preferred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tcPr>
          <w:p>
            <w:pPr>
              <w:ind w:left="200"/>
              <w:spacing w:after="0" w:line="159" w:lineRule="exact"/>
              <w:rPr>
                <w:sz w:val="20"/>
                <w:szCs w:val="20"/>
                <w:color w:val="auto"/>
              </w:rPr>
            </w:pPr>
            <w:r>
              <w:rPr>
                <w:rFonts w:ascii="Arial" w:cs="Arial" w:eastAsia="Arial" w:hAnsi="Arial"/>
                <w:sz w:val="14"/>
                <w:szCs w:val="14"/>
                <w:color w:val="auto"/>
              </w:rPr>
              <w:t>shares</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w w:val="82"/>
              </w:rPr>
              <w:t>11,111,111</w:t>
            </w:r>
          </w:p>
        </w:tc>
        <w:tc>
          <w:tcPr>
            <w:tcW w:w="12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920</w:t>
            </w: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4"/>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182,004</w:t>
            </w:r>
          </w:p>
        </w:tc>
        <w:tc>
          <w:tcPr>
            <w:tcW w:w="1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182,924</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Release of restricted shares to unrestricted</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w:t>
            </w: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1,324,778</w:t>
            </w:r>
          </w:p>
        </w:tc>
        <w:tc>
          <w:tcPr>
            <w:tcW w:w="12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3"/>
              </w:rPr>
              <w:t>(1,324,778)</w:t>
            </w:r>
          </w:p>
        </w:tc>
        <w:tc>
          <w:tcPr>
            <w:tcW w:w="4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(65,480)</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(65,480)</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May 31, 2005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92,324,778</w:t>
            </w:r>
          </w:p>
        </w:tc>
        <w:tc>
          <w:tcPr>
            <w:tcW w:w="6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7,675,222</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255,945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218,984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484,126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restricted</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shares to employees</w:t>
            </w: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72,976</w:t>
            </w: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72,976</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rPr>
              <w:t>Share-based compensation expense for</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tcPr>
          <w:p>
            <w:pPr>
              <w:ind w:left="200"/>
              <w:spacing w:after="0" w:line="159" w:lineRule="exact"/>
              <w:rPr>
                <w:sz w:val="20"/>
                <w:szCs w:val="20"/>
                <w:color w:val="auto"/>
              </w:rPr>
            </w:pPr>
            <w:r>
              <w:rPr>
                <w:rFonts w:ascii="Arial" w:cs="Arial" w:eastAsia="Arial" w:hAnsi="Arial"/>
                <w:sz w:val="14"/>
                <w:szCs w:val="14"/>
                <w:color w:val="auto"/>
              </w:rPr>
              <w:t>employee share options</w:t>
            </w: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4"/>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6,124</w:t>
            </w:r>
          </w:p>
        </w:tc>
        <w:tc>
          <w:tcPr>
            <w:tcW w:w="1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6,124</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(65,498)</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(65,498)</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Dividend in kind</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(25,526)</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(25,526)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rPr>
              <w:t>Foreign currency translation</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adjustment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May 31, 2006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92,324,778</w:t>
            </w:r>
          </w:p>
        </w:tc>
        <w:tc>
          <w:tcPr>
            <w:tcW w:w="6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7,675,222</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309,519</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202,871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521,506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US$114</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6"/>
              </w:rPr>
              <w:t>US$1,032</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US$ 38,599</w:t>
            </w:r>
          </w:p>
        </w:tc>
        <w:tc>
          <w:tcPr>
            <w:tcW w:w="8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US$ 25,300</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US$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7"/>
              </w:rPr>
              <w:t>US$   65,035</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0"/>
              </w:rPr>
              <w:t>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-2790825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-2790825</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-2790825</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-1538605</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-1538605</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-1538605</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-286385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-286385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-286385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-286385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-286385</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-286385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-286385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-286385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-286385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-286385</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-286385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-286385</wp:posOffset>
            </wp:positionV>
            <wp:extent cx="3873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-286385</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-286385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-286385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-286385</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-286385</wp:posOffset>
            </wp:positionV>
            <wp:extent cx="3873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-286385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-286385</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-286385</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-286385</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-286385</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-286385</wp:posOffset>
            </wp:positionV>
            <wp:extent cx="3873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-286385</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-286385</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-286385</wp:posOffset>
            </wp:positionV>
            <wp:extent cx="387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-286385</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-286385</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-286385</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-29210</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-29210</wp:posOffset>
            </wp:positionV>
            <wp:extent cx="2159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Years ended May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RMB</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RMB</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1"/>
                <w:szCs w:val="21"/>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Income attributable to holders of common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52,389</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141,974</w:t>
            </w:r>
          </w:p>
        </w:tc>
        <w:tc>
          <w:tcPr>
            <w:tcW w:w="640" w:type="dxa"/>
            <w:vAlign w:val="bottom"/>
          </w:tcPr>
          <w:p>
            <w:pPr>
              <w:jc w:val="right"/>
              <w:spacing w:after="0"/>
              <w:rPr>
                <w:sz w:val="20"/>
                <w:szCs w:val="20"/>
                <w:color w:val="auto"/>
              </w:rPr>
            </w:pPr>
            <w:r>
              <w:rPr>
                <w:rFonts w:ascii="Arial" w:cs="Arial" w:eastAsia="Arial" w:hAnsi="Arial"/>
                <w:sz w:val="18"/>
                <w:szCs w:val="18"/>
                <w:color w:val="auto"/>
              </w:rPr>
              <w:t>23,859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in kind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141,974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23,857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Amortization of land use right</w:t>
            </w:r>
          </w:p>
        </w:tc>
        <w:tc>
          <w:tcPr>
            <w:tcW w:w="640" w:type="dxa"/>
            <w:vAlign w:val="bottom"/>
          </w:tcPr>
          <w:p>
            <w:pPr>
              <w:jc w:val="right"/>
              <w:spacing w:after="0"/>
              <w:rPr>
                <w:sz w:val="20"/>
                <w:szCs w:val="20"/>
                <w:color w:val="auto"/>
              </w:rPr>
            </w:pPr>
            <w:r>
              <w:rPr>
                <w:rFonts w:ascii="Arial" w:cs="Arial" w:eastAsia="Arial" w:hAnsi="Arial"/>
                <w:sz w:val="18"/>
                <w:szCs w:val="18"/>
                <w:color w:val="auto"/>
              </w:rPr>
              <w:t>554</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554</w:t>
            </w:r>
          </w:p>
        </w:tc>
        <w:tc>
          <w:tcPr>
            <w:tcW w:w="640" w:type="dxa"/>
            <w:vAlign w:val="bottom"/>
          </w:tcPr>
          <w:p>
            <w:pPr>
              <w:jc w:val="right"/>
              <w:spacing w:after="0"/>
              <w:rPr>
                <w:sz w:val="20"/>
                <w:szCs w:val="20"/>
                <w:color w:val="auto"/>
              </w:rPr>
            </w:pPr>
            <w:r>
              <w:rPr>
                <w:rFonts w:ascii="Arial" w:cs="Arial" w:eastAsia="Arial" w:hAnsi="Arial"/>
                <w:sz w:val="18"/>
                <w:szCs w:val="18"/>
                <w:color w:val="auto"/>
              </w:rPr>
              <w:t>554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640" w:type="dxa"/>
            <w:vAlign w:val="bottom"/>
          </w:tcPr>
          <w:p>
            <w:pPr>
              <w:jc w:val="right"/>
              <w:spacing w:after="0"/>
              <w:rPr>
                <w:sz w:val="20"/>
                <w:szCs w:val="20"/>
                <w:color w:val="auto"/>
              </w:rPr>
            </w:pPr>
            <w:r>
              <w:rPr>
                <w:rFonts w:ascii="Arial" w:cs="Arial" w:eastAsia="Arial" w:hAnsi="Arial"/>
                <w:sz w:val="18"/>
                <w:szCs w:val="18"/>
                <w:color w:val="auto"/>
              </w:rPr>
              <w:t>16,817</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64,457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in continuing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Minority interest in discontinued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1,399</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2,433</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receivables, net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Inventory</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(21,664)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998</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(10,513)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(26,894)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Accounts payable-trade</w:t>
            </w:r>
          </w:p>
        </w:tc>
        <w:tc>
          <w:tcPr>
            <w:tcW w:w="640" w:type="dxa"/>
            <w:vAlign w:val="bottom"/>
          </w:tcPr>
          <w:p>
            <w:pPr>
              <w:jc w:val="right"/>
              <w:spacing w:after="0"/>
              <w:rPr>
                <w:sz w:val="20"/>
                <w:szCs w:val="20"/>
                <w:color w:val="auto"/>
              </w:rPr>
            </w:pPr>
            <w:r>
              <w:rPr>
                <w:rFonts w:ascii="Arial" w:cs="Arial" w:eastAsia="Arial" w:hAnsi="Arial"/>
                <w:sz w:val="18"/>
                <w:szCs w:val="18"/>
                <w:color w:val="auto"/>
              </w:rPr>
              <w:t>21,379</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4,025</w:t>
            </w:r>
          </w:p>
        </w:tc>
        <w:tc>
          <w:tcPr>
            <w:tcW w:w="640" w:type="dxa"/>
            <w:vAlign w:val="bottom"/>
          </w:tcPr>
          <w:p>
            <w:pPr>
              <w:jc w:val="right"/>
              <w:spacing w:after="0"/>
              <w:rPr>
                <w:sz w:val="20"/>
                <w:szCs w:val="20"/>
                <w:color w:val="auto"/>
              </w:rPr>
            </w:pPr>
            <w:r>
              <w:rPr>
                <w:rFonts w:ascii="Arial" w:cs="Arial" w:eastAsia="Arial" w:hAnsi="Arial"/>
                <w:sz w:val="18"/>
                <w:szCs w:val="18"/>
                <w:color w:val="auto"/>
              </w:rPr>
              <w:t>11,495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expenses and other current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Income tax payable</w:t>
            </w:r>
          </w:p>
        </w:tc>
        <w:tc>
          <w:tcPr>
            <w:tcW w:w="640" w:type="dxa"/>
            <w:vAlign w:val="bottom"/>
          </w:tcPr>
          <w:p>
            <w:pPr>
              <w:jc w:val="right"/>
              <w:spacing w:after="0"/>
              <w:rPr>
                <w:sz w:val="20"/>
                <w:szCs w:val="20"/>
                <w:color w:val="auto"/>
              </w:rPr>
            </w:pPr>
            <w:r>
              <w:rPr>
                <w:rFonts w:ascii="Arial" w:cs="Arial" w:eastAsia="Arial" w:hAnsi="Arial"/>
                <w:sz w:val="18"/>
                <w:szCs w:val="18"/>
                <w:color w:val="auto"/>
              </w:rPr>
              <w:t>551</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4,848</w:t>
            </w:r>
          </w:p>
        </w:tc>
        <w:tc>
          <w:tcPr>
            <w:tcW w:w="640" w:type="dxa"/>
            <w:vAlign w:val="bottom"/>
          </w:tcPr>
          <w:p>
            <w:pPr>
              <w:jc w:val="right"/>
              <w:spacing w:after="0"/>
              <w:rPr>
                <w:sz w:val="20"/>
                <w:szCs w:val="20"/>
                <w:color w:val="auto"/>
              </w:rPr>
            </w:pPr>
            <w:r>
              <w:rPr>
                <w:rFonts w:ascii="Arial" w:cs="Arial" w:eastAsia="Arial" w:hAnsi="Arial"/>
                <w:sz w:val="18"/>
                <w:szCs w:val="18"/>
                <w:color w:val="auto"/>
              </w:rPr>
              <w:t>7,199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Amount due to related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Long-term prepaid rent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113,004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143,966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202,185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(9,837)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8,116</w:t>
            </w:r>
          </w:p>
        </w:tc>
        <w:tc>
          <w:tcPr>
            <w:tcW w:w="640" w:type="dxa"/>
            <w:vAlign w:val="bottom"/>
          </w:tcPr>
          <w:p>
            <w:pPr>
              <w:jc w:val="right"/>
              <w:spacing w:after="0"/>
              <w:rPr>
                <w:sz w:val="20"/>
                <w:szCs w:val="20"/>
                <w:color w:val="auto"/>
              </w:rPr>
            </w:pPr>
            <w:r>
              <w:rPr>
                <w:rFonts w:ascii="Arial" w:cs="Arial" w:eastAsia="Arial" w:hAnsi="Arial"/>
                <w:sz w:val="18"/>
                <w:szCs w:val="18"/>
                <w:color w:val="auto"/>
              </w:rPr>
              <w:t>721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deposits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111,600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23,500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Purchase of trade mark</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(233,538)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(345,029)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(94,263)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Proceeds from disposal of property, plant and equipment</w:t>
            </w:r>
          </w:p>
        </w:tc>
        <w:tc>
          <w:tcPr>
            <w:tcW w:w="640" w:type="dxa"/>
            <w:vAlign w:val="bottom"/>
          </w:tcPr>
          <w:p>
            <w:pPr>
              <w:jc w:val="right"/>
              <w:spacing w:after="0"/>
              <w:rPr>
                <w:sz w:val="20"/>
                <w:szCs w:val="20"/>
                <w:color w:val="auto"/>
              </w:rPr>
            </w:pPr>
            <w:r>
              <w:rPr>
                <w:rFonts w:ascii="Arial" w:cs="Arial" w:eastAsia="Arial" w:hAnsi="Arial"/>
                <w:sz w:val="18"/>
                <w:szCs w:val="18"/>
                <w:color w:val="auto"/>
              </w:rPr>
              <w:t>320</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1,457</w:t>
            </w:r>
          </w:p>
        </w:tc>
        <w:tc>
          <w:tcPr>
            <w:tcW w:w="640" w:type="dxa"/>
            <w:vAlign w:val="bottom"/>
          </w:tcPr>
          <w:p>
            <w:pPr>
              <w:jc w:val="right"/>
              <w:spacing w:after="0"/>
              <w:rPr>
                <w:sz w:val="20"/>
                <w:szCs w:val="20"/>
                <w:color w:val="auto"/>
              </w:rPr>
            </w:pPr>
            <w:r>
              <w:rPr>
                <w:rFonts w:ascii="Arial" w:cs="Arial" w:eastAsia="Arial" w:hAnsi="Arial"/>
                <w:sz w:val="18"/>
                <w:szCs w:val="18"/>
                <w:color w:val="auto"/>
              </w:rPr>
              <w:t>814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due from related parties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(5,708)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Proceeds from a disposal of discontinued operations, net of cash disposed</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(5,729)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(18,128)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received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24,806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Collection of amounts due from related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14,250</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nominee owners equity interests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(117,205)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(298,587)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(117,540)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(14,657)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Years ended May 31,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Proceeds from issuance of common shares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Series A convertible preferred shares (net of issuance costs of 3,294)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182,924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Refund of deposit from potential investor</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(100,000)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short-term borrowings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Repayments on short-term borrowings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(5,000)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(70,000)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164,360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Repayment of long-term debt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(2,739)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(65,880)</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issuance of restricted shares to employees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Dividends paid to shareholders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(27,300)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(65,480)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(64,726)</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 due to related parties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Repayment of amount due to related parties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(3,709)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(10,646)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contribution from minority shareholders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(15,957)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264,347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(160,450)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(20,011)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(20,158)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109,726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(75,886)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248,172</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228,014</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337,740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228,014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337,740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261,854</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$ 32,655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 disclosure of cash flow information</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interest (net of amount capitalized)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18,729</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property, plant and equipment in exchange for payable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45,575</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37,496</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Dividend converted to capital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00" w:type="dxa"/>
            <w:vAlign w:val="bottom"/>
          </w:tcPr>
          <w:p>
            <w:pPr>
              <w:ind w:left="352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0" w:type="dxa"/>
            <w:vAlign w:val="bottom"/>
          </w:tcPr>
          <w:p>
            <w:pPr>
              <w:ind w:left="5580"/>
              <w:spacing w:after="0"/>
              <w:rPr>
                <w:sz w:val="20"/>
                <w:szCs w:val="20"/>
                <w:color w:val="auto"/>
              </w:rPr>
            </w:pPr>
            <w:r>
              <w:rPr>
                <w:rFonts w:ascii="Arial" w:cs="Arial" w:eastAsia="Arial" w:hAnsi="Arial"/>
                <w:sz w:val="18"/>
                <w:szCs w:val="18"/>
                <w:color w:val="auto"/>
              </w:rPr>
              <w:t>F-7</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-2247265</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-2247265</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-2247265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-2247265</wp:posOffset>
            </wp:positionV>
            <wp:extent cx="387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-2247265</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-2247265</wp:posOffset>
            </wp:positionV>
            <wp:extent cx="3873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-2247265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-2247265</wp:posOffset>
            </wp:positionV>
            <wp:extent cx="215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-2247265</wp:posOffset>
            </wp:positionV>
            <wp:extent cx="3873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-1800860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-1800860</wp:posOffset>
            </wp:positionV>
            <wp:extent cx="3873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-1800860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-1800860</wp:posOffset>
            </wp:positionV>
            <wp:extent cx="3873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-1800860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-1800860</wp:posOffset>
            </wp:positionV>
            <wp:extent cx="62166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-1501140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-1501140</wp:posOffset>
            </wp:positionV>
            <wp:extent cx="3873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-1501140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-1501140</wp:posOffset>
            </wp:positionV>
            <wp:extent cx="3873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-1501140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-1501140</wp:posOffset>
            </wp:positionV>
            <wp:extent cx="3873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-1501140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-1501140</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-1501140</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-1063625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-1063625</wp:posOffset>
            </wp:positionV>
            <wp:extent cx="3873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-1063625</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-1063625</wp:posOffset>
            </wp:positionV>
            <wp:extent cx="3873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-1063625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-1063625</wp:posOffset>
            </wp:positionV>
            <wp:extent cx="62166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-763270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-763270</wp:posOffset>
            </wp:positionV>
            <wp:extent cx="3873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-763270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-763270</wp:posOffset>
            </wp:positionV>
            <wp:extent cx="3873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-763270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-763270</wp:posOffset>
            </wp:positionV>
            <wp:extent cx="62166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-463550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-463550</wp:posOffset>
            </wp:positionV>
            <wp:extent cx="3873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-463550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-463550</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-463550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-463550</wp:posOffset>
            </wp:positionV>
            <wp:extent cx="62166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2166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63" w:lineRule="exact"/>
        <w:rPr>
          <w:rFonts w:ascii="Arial" w:cs="Arial" w:eastAsia="Arial" w:hAnsi="Arial"/>
          <w:sz w:val="18"/>
          <w:szCs w:val="18"/>
          <w:b w:val="1"/>
          <w:bCs w:val="1"/>
          <w:color w:val="auto"/>
        </w:rPr>
      </w:pPr>
    </w:p>
    <w:p>
      <w:pPr>
        <w:ind w:left="46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Prior to August 18, 2004, Beijing New Oriental Education &amp; Technology (Group) Co., Ltd., (“New Oriental China”) and its subsidiaries operated the business. On August 18, 2004, the same shareholders established New Oriental Education &amp; Technology Group Inc. (the “Company”) with the same shareholdings under the laws of the British Virgin Islands, and changed the corporate domicile to the Cayman Islands on January 25, 2006. Through contractual agreements described below, the Company is deemed the primary beneficiary of New Oriental China resulting in New Oriental China being deemed a subsidiary of the Company under the requirements of Financial Interpretation No. 46 (“FIN 46”), “Consolidation of Variable Interest Entities.” In substance, an existing company, New Oriental China, has been reorganized as a subsidiary of a new company, New Oriental Education &amp; Technology Group Inc. Accordingly, the financial statements are prepared by including the financial statements of New Oriental China and its subsidiaries through December 2004 and subsequently the Group’s consolidated financial statements which include the Company and its subsidiaries and variable interest entity, New Oriental China and its subsidiaries. The Company and all its subsidiaries and variable interest entity, New Oriental China and its subsidiaries are collectively referred to as the “Group.”</w:t>
      </w:r>
    </w:p>
    <w:p>
      <w:pPr>
        <w:spacing w:after="0" w:line="10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May 31, 2006, details of the Group’s subsidiaries, variable interest entity and its subsidiaries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Place of</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49"/>
        </w:trPr>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42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incorporation</w:t>
            </w: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49"/>
        </w:trPr>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incorporation</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(or establishment)</w:t>
            </w:r>
          </w:p>
        </w:tc>
        <w:tc>
          <w:tcPr>
            <w:tcW w:w="13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Percentage</w:t>
            </w:r>
          </w:p>
        </w:tc>
        <w:tc>
          <w:tcPr>
            <w:tcW w:w="3180" w:type="dxa"/>
            <w:vAlign w:val="bottom"/>
          </w:tcPr>
          <w:p>
            <w:pPr>
              <w:spacing w:after="0"/>
              <w:rPr>
                <w:sz w:val="12"/>
                <w:szCs w:val="12"/>
                <w:color w:val="auto"/>
              </w:rPr>
            </w:pPr>
          </w:p>
        </w:tc>
      </w:tr>
      <w:tr>
        <w:trPr>
          <w:trHeight w:val="174"/>
        </w:trPr>
        <w:tc>
          <w:tcPr>
            <w:tcW w:w="36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or establishment</w:t>
            </w:r>
          </w:p>
        </w:tc>
        <w:tc>
          <w:tcPr>
            <w:tcW w:w="4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/operation</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of ownership</w:t>
            </w: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activity</w:t>
            </w:r>
          </w:p>
        </w:tc>
      </w:tr>
      <w:tr>
        <w:trPr>
          <w:trHeight w:val="95"/>
        </w:trPr>
        <w:tc>
          <w:tcPr>
            <w:tcW w:w="3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r>
      <w:tr>
        <w:trPr>
          <w:trHeight w:val="239"/>
        </w:trPr>
        <w:tc>
          <w:tcPr>
            <w:tcW w:w="3600" w:type="dxa"/>
            <w:vAlign w:val="bottom"/>
          </w:tcPr>
          <w:p>
            <w:pPr>
              <w:spacing w:after="0"/>
              <w:rPr>
                <w:sz w:val="20"/>
                <w:szCs w:val="20"/>
                <w:color w:val="auto"/>
              </w:rPr>
            </w:pPr>
            <w:r>
              <w:rPr>
                <w:rFonts w:ascii="Arial" w:cs="Arial" w:eastAsia="Arial" w:hAnsi="Arial"/>
                <w:sz w:val="14"/>
                <w:szCs w:val="14"/>
                <w:b w:val="1"/>
                <w:bCs w:val="1"/>
                <w:color w:val="auto"/>
              </w:rPr>
              <w:t>Subsidiaries held by the Company:</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w w:val="98"/>
              </w:rPr>
              <w:t>Beijing Decision Education &amp; Consulting Company Limited</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7"/>
              </w:rPr>
              <w:t>Educational Information system and other</w:t>
            </w:r>
          </w:p>
        </w:tc>
      </w:tr>
      <w:tr>
        <w:trPr>
          <w:trHeight w:val="149"/>
        </w:trPr>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(“Beijing Decision”)</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April 20, 2005</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consulting services</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Beijing Judgment Education &amp; Company Limited (“Beijing</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49"/>
        </w:trPr>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Judgment”)</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April 20, 2005</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8"/>
              </w:rPr>
              <w:t>Educational consulting and investing activities</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Beijing Hewstone Technology Company Limited (“Beijing</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7"/>
              </w:rPr>
              <w:t>Educational software development and distribution and</w:t>
            </w:r>
          </w:p>
        </w:tc>
      </w:tr>
      <w:tr>
        <w:trPr>
          <w:trHeight w:val="149"/>
        </w:trPr>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Hewstone”)</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April 20, 2005</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other consulting services</w:t>
            </w:r>
          </w:p>
        </w:tc>
      </w:tr>
      <w:tr>
        <w:trPr>
          <w:trHeight w:val="172"/>
        </w:trPr>
        <w:tc>
          <w:tcPr>
            <w:tcW w:w="3600" w:type="dxa"/>
            <w:vAlign w:val="bottom"/>
          </w:tcPr>
          <w:p>
            <w:pPr>
              <w:spacing w:after="0"/>
              <w:rPr>
                <w:sz w:val="20"/>
                <w:szCs w:val="20"/>
                <w:color w:val="auto"/>
              </w:rPr>
            </w:pPr>
            <w:r>
              <w:rPr>
                <w:rFonts w:ascii="Arial" w:cs="Arial" w:eastAsia="Arial" w:hAnsi="Arial"/>
                <w:sz w:val="14"/>
                <w:szCs w:val="14"/>
                <w:color w:val="auto"/>
              </w:rPr>
              <w:t>New Oriental Education Corporation (Canada)</w:t>
            </w:r>
          </w:p>
        </w:tc>
        <w:tc>
          <w:tcPr>
            <w:tcW w:w="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3"/>
              </w:rPr>
              <w:t>January, 2002</w:t>
            </w:r>
          </w:p>
        </w:tc>
        <w:tc>
          <w:tcPr>
            <w:tcW w:w="42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color w:val="auto"/>
              </w:rPr>
              <w:t>Canada</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rPr>
                <w:sz w:val="20"/>
                <w:szCs w:val="20"/>
                <w:color w:val="auto"/>
              </w:rPr>
            </w:pPr>
            <w:r>
              <w:rPr>
                <w:rFonts w:ascii="Arial" w:cs="Arial" w:eastAsia="Arial" w:hAnsi="Arial"/>
                <w:sz w:val="14"/>
                <w:szCs w:val="14"/>
                <w:color w:val="auto"/>
                <w:w w:val="86"/>
              </w:rPr>
              <w:t>Language education</w:t>
            </w:r>
          </w:p>
        </w:tc>
      </w:tr>
      <w:tr>
        <w:trPr>
          <w:trHeight w:val="233"/>
        </w:trPr>
        <w:tc>
          <w:tcPr>
            <w:tcW w:w="3600" w:type="dxa"/>
            <w:vAlign w:val="bottom"/>
          </w:tcPr>
          <w:p>
            <w:pPr>
              <w:spacing w:after="0"/>
              <w:rPr>
                <w:sz w:val="20"/>
                <w:szCs w:val="20"/>
                <w:color w:val="auto"/>
              </w:rPr>
            </w:pPr>
            <w:r>
              <w:rPr>
                <w:rFonts w:ascii="Arial" w:cs="Arial" w:eastAsia="Arial" w:hAnsi="Arial"/>
                <w:sz w:val="14"/>
                <w:szCs w:val="14"/>
                <w:b w:val="1"/>
                <w:bCs w:val="1"/>
                <w:color w:val="auto"/>
              </w:rPr>
              <w:t>Variable interest entity held by the Company:</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New Oriental China</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August 2, 2001</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7"/>
              </w:rPr>
              <w:t>Education consulting, software development and</w:t>
            </w:r>
          </w:p>
        </w:tc>
      </w:tr>
      <w:tr>
        <w:trPr>
          <w:trHeight w:val="172"/>
        </w:trPr>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color w:val="auto"/>
                <w:w w:val="87"/>
              </w:rPr>
              <w:t>distributions and other services</w:t>
            </w:r>
          </w:p>
        </w:tc>
      </w:tr>
      <w:tr>
        <w:trPr>
          <w:trHeight w:val="233"/>
        </w:trPr>
        <w:tc>
          <w:tcPr>
            <w:tcW w:w="3600" w:type="dxa"/>
            <w:vAlign w:val="bottom"/>
          </w:tcPr>
          <w:p>
            <w:pPr>
              <w:spacing w:after="0"/>
              <w:rPr>
                <w:sz w:val="20"/>
                <w:szCs w:val="20"/>
                <w:color w:val="auto"/>
              </w:rPr>
            </w:pPr>
            <w:r>
              <w:rPr>
                <w:rFonts w:ascii="Arial" w:cs="Arial" w:eastAsia="Arial" w:hAnsi="Arial"/>
                <w:sz w:val="14"/>
                <w:szCs w:val="14"/>
                <w:b w:val="1"/>
                <w:bCs w:val="1"/>
                <w:color w:val="auto"/>
              </w:rPr>
              <w:t>Subsidiaries held by New Oriental China:</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w w:val="93"/>
              </w:rPr>
              <w:t>Beijing Haidian District Privately-Funded New Oriental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5, 1993</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5"/>
              </w:rPr>
              <w:t>Language and post-secondary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w w:val="90"/>
              </w:rPr>
              <w:t>Shanghai Yangpu District New Oriental Advanced Study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3"/>
              </w:rPr>
              <w:t>June 1, 2000</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w w:val="99"/>
              </w:rPr>
              <w:t>Guangzhou Haizhu District Privately-Funded New Oriental</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49"/>
        </w:trPr>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Training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September 8, 2000</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Wuhan New Oriental Training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April 24, 2002</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Tianjin New Oriental Training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8"/>
              </w:rPr>
              <w:t>August 21, 2002</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Xi’an Yanta District New</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49"/>
        </w:trPr>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Oriental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November 26, 2002</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Nanjing Gulou New Oriental</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49"/>
        </w:trPr>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Advanced Study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November 28, 2002</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Shenzhen New Oriental Training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October 15, 2003</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72"/>
        </w:trPr>
        <w:tc>
          <w:tcPr>
            <w:tcW w:w="3600" w:type="dxa"/>
            <w:vAlign w:val="bottom"/>
          </w:tcPr>
          <w:p>
            <w:pPr>
              <w:spacing w:after="0"/>
              <w:rPr>
                <w:sz w:val="20"/>
                <w:szCs w:val="20"/>
                <w:color w:val="auto"/>
              </w:rPr>
            </w:pPr>
            <w:r>
              <w:rPr>
                <w:rFonts w:ascii="Arial" w:cs="Arial" w:eastAsia="Arial" w:hAnsi="Arial"/>
                <w:sz w:val="14"/>
                <w:szCs w:val="14"/>
                <w:color w:val="auto"/>
                <w:w w:val="97"/>
              </w:rPr>
              <w:t>Shenyang New Oriental Foreign Language Training School</w:t>
            </w:r>
          </w:p>
        </w:tc>
        <w:tc>
          <w:tcPr>
            <w:tcW w:w="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5"/>
              </w:rPr>
              <w:t>June 18, 2003</w:t>
            </w:r>
          </w:p>
        </w:tc>
        <w:tc>
          <w:tcPr>
            <w:tcW w:w="42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rPr>
                <w:sz w:val="20"/>
                <w:szCs w:val="20"/>
                <w:color w:val="auto"/>
              </w:rPr>
            </w:pPr>
            <w:r>
              <w:rPr>
                <w:rFonts w:ascii="Arial" w:cs="Arial" w:eastAsia="Arial" w:hAnsi="Arial"/>
                <w:sz w:val="14"/>
                <w:szCs w:val="14"/>
                <w:color w:val="auto"/>
                <w:w w:val="86"/>
              </w:rPr>
              <w:t>Language education</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Place of</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50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incorporation</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incorporation</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(or establishment)</w:t>
            </w:r>
          </w:p>
        </w:tc>
        <w:tc>
          <w:tcPr>
            <w:tcW w:w="13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3060" w:type="dxa"/>
            <w:vAlign w:val="bottom"/>
          </w:tcPr>
          <w:p>
            <w:pPr>
              <w:spacing w:after="0"/>
              <w:rPr>
                <w:sz w:val="12"/>
                <w:szCs w:val="12"/>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or establishment</w:t>
            </w:r>
          </w:p>
        </w:tc>
        <w:tc>
          <w:tcPr>
            <w:tcW w:w="500" w:type="dxa"/>
            <w:vAlign w:val="bottom"/>
          </w:tcPr>
          <w:p>
            <w:pPr>
              <w:spacing w:after="0"/>
              <w:rPr>
                <w:sz w:val="15"/>
                <w:szCs w:val="15"/>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/operation</w:t>
            </w: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of ownership</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activity</w:t>
            </w:r>
          </w:p>
        </w:tc>
      </w:tr>
      <w:tr>
        <w:trPr>
          <w:trHeight w:val="95"/>
        </w:trPr>
        <w:tc>
          <w:tcPr>
            <w:tcW w:w="33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r>
      <w:tr>
        <w:trPr>
          <w:trHeight w:val="239"/>
        </w:trPr>
        <w:tc>
          <w:tcPr>
            <w:tcW w:w="3840" w:type="dxa"/>
            <w:vAlign w:val="bottom"/>
            <w:gridSpan w:val="2"/>
          </w:tcPr>
          <w:p>
            <w:pPr>
              <w:spacing w:after="0"/>
              <w:rPr>
                <w:sz w:val="20"/>
                <w:szCs w:val="20"/>
                <w:color w:val="auto"/>
              </w:rPr>
            </w:pPr>
            <w:r>
              <w:rPr>
                <w:rFonts w:ascii="Arial" w:cs="Arial" w:eastAsia="Arial" w:hAnsi="Arial"/>
                <w:sz w:val="14"/>
                <w:szCs w:val="14"/>
                <w:color w:val="auto"/>
              </w:rPr>
              <w:t>Chongqing New Oriental Training School</w:t>
            </w:r>
          </w:p>
        </w:tc>
        <w:tc>
          <w:tcPr>
            <w:tcW w:w="1080" w:type="dxa"/>
            <w:vAlign w:val="bottom"/>
          </w:tcPr>
          <w:p>
            <w:pPr>
              <w:jc w:val="center"/>
              <w:spacing w:after="0"/>
              <w:rPr>
                <w:sz w:val="20"/>
                <w:szCs w:val="20"/>
                <w:color w:val="auto"/>
              </w:rPr>
            </w:pPr>
            <w:r>
              <w:rPr>
                <w:rFonts w:ascii="Arial" w:cs="Arial" w:eastAsia="Arial" w:hAnsi="Arial"/>
                <w:sz w:val="14"/>
                <w:szCs w:val="14"/>
                <w:color w:val="auto"/>
                <w:w w:val="88"/>
              </w:rPr>
              <w:t>August 15, 2003</w:t>
            </w:r>
          </w:p>
        </w:tc>
        <w:tc>
          <w:tcPr>
            <w:tcW w:w="500" w:type="dxa"/>
            <w:vAlign w:val="bottom"/>
          </w:tcPr>
          <w:p>
            <w:pPr>
              <w:spacing w:after="0"/>
              <w:rPr>
                <w:sz w:val="20"/>
                <w:szCs w:val="20"/>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Chengdu New Oriental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8"/>
              </w:rPr>
              <w:t>August 18,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Haidian District New Oriental Vocational Education</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Center</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3"/>
              </w:rPr>
              <w:t>June 2,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Xiangfan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October 26,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Changsha Furong District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May 25,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Jinan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May 31,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Taiyuan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April 20,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Ha’er Bin Nangang District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May 20,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Changchun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26,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Hangzhou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21,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Zhengzhou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19,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Zhuzhou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April 30, 2006</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Shijiazhuang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3, 2006</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Suzhou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April 26, 2006</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International Preparatory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10,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Yangzhou Bilingual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3"/>
              </w:rPr>
              <w:t>June 6, 2002</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Primary and secondary school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Dogwood Cultural Communications</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 Ltd. (“Dogwood Cultural”)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May 16,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Dogwood Book, Audio &amp; Video Co.,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Ltd. (“Beijing Dogwood”)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Chengdu New Oriental Dogwood Bookstore Products Co.,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Ltd. (“Chengdu Dogwood”)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January 18,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Chongqing New Oriental Dogwood Bookstore &amp; Audio-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Visual Products Co., Ltd. (“Chongqing Dogwood”)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February 25,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Shenyang new Oriental Dogwood Bookstore &amp; Audio-Visual</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Products Co., Ltd. (“Shenyang Dogwood”)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September 18,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Guangzhou New Oriental Dogwood Bookstore &amp; Audio-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Visual Products Co., Ltd. (“Guangzhou Dogwood”)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November 11,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Wuhan New Oriental Dogwood Bookstore &amp; Audio-Visual</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Products Co., Ltd. (“Wuhan Dogwood”) (Note 1)</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16,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Xi’an New Oriental Dogwood Bookstore &amp; Audio-Visual</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7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Products Co., Ltd. (“Xi’an Dogwood”) (Note (i))</w:t>
            </w:r>
          </w:p>
        </w:tc>
        <w:tc>
          <w:tcPr>
            <w:tcW w:w="1080" w:type="dxa"/>
            <w:vAlign w:val="bottom"/>
          </w:tcPr>
          <w:p>
            <w:pPr>
              <w:jc w:val="center"/>
              <w:spacing w:after="0"/>
              <w:rPr>
                <w:sz w:val="20"/>
                <w:szCs w:val="20"/>
                <w:color w:val="auto"/>
              </w:rPr>
            </w:pPr>
            <w:r>
              <w:rPr>
                <w:rFonts w:ascii="Arial" w:cs="Arial" w:eastAsia="Arial" w:hAnsi="Arial"/>
                <w:sz w:val="14"/>
                <w:szCs w:val="14"/>
                <w:color w:val="auto"/>
                <w:w w:val="83"/>
              </w:rPr>
              <w:t>June 3, 2003</w:t>
            </w:r>
          </w:p>
        </w:tc>
        <w:tc>
          <w:tcPr>
            <w:tcW w:w="50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rPr>
                <w:sz w:val="20"/>
                <w:szCs w:val="20"/>
                <w:color w:val="auto"/>
              </w:rPr>
            </w:pPr>
            <w:r>
              <w:rPr>
                <w:rFonts w:ascii="Arial" w:cs="Arial" w:eastAsia="Arial" w:hAnsi="Arial"/>
                <w:sz w:val="14"/>
                <w:szCs w:val="14"/>
                <w:color w:val="auto"/>
                <w:w w:val="86"/>
              </w:rPr>
              <w:t>Sales of educational materials and products</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Place of</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50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incorporation</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incorporation</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(or establishment)</w:t>
            </w:r>
          </w:p>
        </w:tc>
        <w:tc>
          <w:tcPr>
            <w:tcW w:w="13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3060" w:type="dxa"/>
            <w:vAlign w:val="bottom"/>
          </w:tcPr>
          <w:p>
            <w:pPr>
              <w:spacing w:after="0"/>
              <w:rPr>
                <w:sz w:val="12"/>
                <w:szCs w:val="12"/>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or establishment</w:t>
            </w:r>
          </w:p>
        </w:tc>
        <w:tc>
          <w:tcPr>
            <w:tcW w:w="500" w:type="dxa"/>
            <w:vAlign w:val="bottom"/>
          </w:tcPr>
          <w:p>
            <w:pPr>
              <w:spacing w:after="0"/>
              <w:rPr>
                <w:sz w:val="15"/>
                <w:szCs w:val="15"/>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/operation</w:t>
            </w: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of ownership</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activity</w:t>
            </w:r>
          </w:p>
        </w:tc>
      </w:tr>
      <w:tr>
        <w:trPr>
          <w:trHeight w:val="95"/>
        </w:trPr>
        <w:tc>
          <w:tcPr>
            <w:tcW w:w="33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r>
      <w:tr>
        <w:trPr>
          <w:trHeight w:val="239"/>
        </w:trPr>
        <w:tc>
          <w:tcPr>
            <w:tcW w:w="3840" w:type="dxa"/>
            <w:vAlign w:val="bottom"/>
            <w:gridSpan w:val="2"/>
          </w:tcPr>
          <w:p>
            <w:pPr>
              <w:spacing w:after="0"/>
              <w:rPr>
                <w:sz w:val="20"/>
                <w:szCs w:val="20"/>
                <w:color w:val="auto"/>
              </w:rPr>
            </w:pPr>
            <w:r>
              <w:rPr>
                <w:rFonts w:ascii="Arial" w:cs="Arial" w:eastAsia="Arial" w:hAnsi="Arial"/>
                <w:sz w:val="14"/>
                <w:szCs w:val="14"/>
                <w:color w:val="auto"/>
              </w:rPr>
              <w:t>Shanghai New Oriental Dogwood Bookstore &amp; Audio-Visual</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Products Co., Ltd. (“Shanghai Dogwood”)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September 28,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Nanjing New Oriental Dogwood Bookstore Products Co.,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Ltd. (“Nanjing Dogwood”)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April 21,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Tianjin New Oriental Dogwood Bookstore &amp; Audio-Visual</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Products Co., Ltd. (“Tianjin Dogwood”)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15,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Changchun New Oriental Dogwood Bookstore &amp; Audio-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Visual Products Co., Ltd.</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8,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Changsha New Oriental Dogwood Bookstore &amp; Audio-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Visual Products Co., Ltd.</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3, 2006</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Ha’er Bin New Oriental Dogwood Book Bookstore &amp;</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Audio-Visual Products Co., Ltd.</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8"/>
              </w:rPr>
              <w:t>March 13, 2006</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Liandong Weiye Technology Development Co., Ltd.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(“Liandong Weiye”) (Note (iii))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September 21, 2000</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7"/>
              </w:rPr>
              <w:t>Providing wireless value-added service</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Tomorrow Oriental Technology Co., Ltd.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(“Tomorrow Oriental”)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September 29, 2000</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8"/>
              </w:rPr>
              <w:t>Providing technology service</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Yangzhou New Oriental Education &amp; Technology Co., Ltd.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(“Yangzhou Co.”)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January 18, 2002</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8"/>
              </w:rPr>
              <w:t>Investment holdings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Vision Overseas Consultancy Co., Ltd.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(“Vision Overseas”)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February 19,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Consulting</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Dogwood Advertisement Co., Ltd.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(“Dogwood Advertisement”) (Note (ii))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January 20,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92"/>
              </w:rPr>
              <w:t>Advertising</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Xuncheng Network Technology Co.,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Ltd. (“Xuncheng”) (Note (ii))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11,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90%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9"/>
              </w:rPr>
              <w:t>On-line education</w:t>
            </w:r>
          </w:p>
        </w:tc>
      </w:tr>
      <w:tr>
        <w:trPr>
          <w:trHeight w:val="172"/>
        </w:trPr>
        <w:tc>
          <w:tcPr>
            <w:tcW w:w="3840" w:type="dxa"/>
            <w:vAlign w:val="bottom"/>
            <w:gridSpan w:val="2"/>
          </w:tcPr>
          <w:p>
            <w:pPr>
              <w:spacing w:after="0"/>
              <w:rPr>
                <w:sz w:val="20"/>
                <w:szCs w:val="20"/>
                <w:color w:val="auto"/>
              </w:rPr>
            </w:pPr>
            <w:r>
              <w:rPr>
                <w:rFonts w:ascii="Arial" w:cs="Arial" w:eastAsia="Arial" w:hAnsi="Arial"/>
                <w:sz w:val="14"/>
                <w:szCs w:val="14"/>
                <w:color w:val="auto"/>
              </w:rPr>
              <w:t>Notes:</w:t>
            </w: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r>
    </w:tbl>
    <w:p>
      <w:pPr>
        <w:spacing w:after="0" w:line="44" w:lineRule="exact"/>
        <w:rPr>
          <w:sz w:val="20"/>
          <w:szCs w:val="20"/>
          <w:color w:val="auto"/>
        </w:rPr>
      </w:pPr>
    </w:p>
    <w:p>
      <w:pPr>
        <w:ind w:left="340" w:right="40" w:hanging="332"/>
        <w:spacing w:after="0" w:line="273"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Dogwood Cultural, Beijing Dogwood, Chengdu Dogwood, Chongqing Dogwood, Shenyang Dogwood, Guangzhou Dogwood, Wuhan Dogwood, Xi’an Dogwood, Shanghai Dogwood, Nanjing Dogwood, Tianjin Dogwood, Yangzhou Co. and Vision Overseas were established by New Oriental China and nominee owners. According the agreement signed between New Oriental China and the nominee owners, whose investments of the foresaid entities, were done through the nominee owners’ personal funds and included as a minority interest before May 31, 2006. The nominee owners does not have the ownership interest of these entities, including the right to receive dividend and other distributions, voting rights, and all other rights and benefit attaching thereto. As of May 31, 2006, all the equity interest of these entities owned by the nominee owners were transferred to New Oriental China, for an aggregate amount of RMB2,044.</w:t>
      </w:r>
    </w:p>
    <w:p>
      <w:pPr>
        <w:spacing w:after="0" w:line="25" w:lineRule="exact"/>
        <w:rPr>
          <w:rFonts w:ascii="Arial" w:cs="Arial" w:eastAsia="Arial" w:hAnsi="Arial"/>
          <w:sz w:val="12"/>
          <w:szCs w:val="12"/>
          <w:color w:val="auto"/>
        </w:rPr>
      </w:pPr>
    </w:p>
    <w:p>
      <w:pPr>
        <w:ind w:left="340" w:hanging="332"/>
        <w:spacing w:after="0" w:line="230"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As of May 31, 2006, Dogwood Advertisement and Xuncheng are held by New Oriental China with equity interests of 80% and 99%, respectively, the remaining equity interest of each of the three entities are held by nominee owner, whose investments of RMB100 and RMB100 in Dogwood Advertisement and Xuncheng, were done through the nominee owners’ personal funds and included as a minority interest. According the agreement signed between New Oriental China and the nominee owners, the nominee owners does not have the ownership interest of these two entities, including the right to receive dividend and other distributions, voting rights, and all other rights and benefit attaching thereto.</w:t>
      </w:r>
    </w:p>
    <w:p>
      <w:pPr>
        <w:spacing w:after="0" w:line="44" w:lineRule="exact"/>
        <w:rPr>
          <w:rFonts w:ascii="Arial" w:cs="Arial" w:eastAsia="Arial" w:hAnsi="Arial"/>
          <w:sz w:val="14"/>
          <w:szCs w:val="14"/>
          <w:color w:val="auto"/>
        </w:rPr>
      </w:pPr>
    </w:p>
    <w:p>
      <w:pPr>
        <w:ind w:left="340" w:right="120" w:hanging="332"/>
        <w:spacing w:after="0" w:line="239"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 2000, the Group established Liandong Weiye and owned a 96.2% stake of Liandong Weiye before March 31, 2005. The Group disposed 56.2% of its investments in March 2005 and remaining interest of 40% in September 2005, as stated in Note 3 Discontinued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63" w:lineRule="exact"/>
        <w:rPr>
          <w:rFonts w:ascii="Arial" w:cs="Arial" w:eastAsia="Arial" w:hAnsi="Arial"/>
          <w:sz w:val="18"/>
          <w:szCs w:val="18"/>
          <w:b w:val="1"/>
          <w:bCs w:val="1"/>
          <w:color w:val="auto"/>
        </w:rPr>
      </w:pPr>
    </w:p>
    <w:p>
      <w:pPr>
        <w:ind w:left="46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Regulations of the People’s Republic of China (“PRC”) restrict direct foreign ownership of business entities providing educational services in the PRC where certain licenses are required. To comply with PRC laws and regulations, the Company provides a significant portion of its services in China through its variable interest entity New Oriental China, for which the Company is the primary beneficiary. New Oriental China has the identical shareholdings as the Company. The Company, through its wholly owned subsidiaries in China, has entered into exclusive technical and other services agreements with New Oriental China in April, 2005, under which the Company provides technical and other services (“Service Agreements”) to New Oriental China and its subsidiaries in exchange for significantly all of the net income of New Oriental China and its subsidiaries. As a collateral security for the prompt and complete performance of the obligations of New Oriental China under the above various contractual arrangements, the respective owners of New Oriental China have entered into an equity pledge agreement (the “Equity Pledge Agreements”) in April, 2005, pursuant to which they agreed to pledge all their rights and interests, including voting rights, in New Oriental China respectively in favor of the Company’s wholly owned subsidiaries. Finally, the shareholders of New Oriental China through an exclusive option agreement are obligated to sell to the Company’s wholly owned subsidiaries and the Company has an exclusive, irrevocable and unconditional right to purchase, or cause the Company’s designated party to purchase, from such shareholders, at Company’s sole discretion part or all of these shareholders’ equity interests in New Oriental China when and, to the extent that applicable PRC Law permits the Company to own part or all of such equity interests in New Oriental China. The purchase price to be paid by the Company will be the minimum amount of consideration permitted by applicable PRC Law at the time when such share transfer occurs which is referred to as the exclusive option agreement.</w:t>
      </w:r>
    </w:p>
    <w:p>
      <w:pPr>
        <w:spacing w:after="0" w:line="112" w:lineRule="exact"/>
        <w:rPr>
          <w:rFonts w:ascii="Arial" w:cs="Arial" w:eastAsia="Arial" w:hAnsi="Arial"/>
          <w:sz w:val="18"/>
          <w:szCs w:val="18"/>
          <w:b w:val="1"/>
          <w:bCs w:val="1"/>
          <w:color w:val="auto"/>
        </w:rPr>
      </w:pPr>
    </w:p>
    <w:p>
      <w:pPr>
        <w:ind w:left="4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holds all the variable interests of New Oriental China and the Company has been determined to be the most closely associated with New Oriental China. Therefore, the Company is the primary beneficiary of New Oriental China. The contractual agreements described above provide for effective control of New Oriental China to be transferred to the Group on December 15, 2004. New Oriental China had operating activities prior to entering into these agreements with the Company. As a result, the consolidated financial statements reflect the consolidation of New Oriental China starting from December 2004. Prior to December 2004, the financial statements were prepared by including the financial statements of New Oriental China and its subsidiaries.</w:t>
      </w:r>
    </w:p>
    <w:p>
      <w:pPr>
        <w:spacing w:after="0" w:line="130" w:lineRule="exact"/>
        <w:rPr>
          <w:rFonts w:ascii="Arial" w:cs="Arial" w:eastAsia="Arial" w:hAnsi="Arial"/>
          <w:sz w:val="18"/>
          <w:szCs w:val="18"/>
          <w:b w:val="1"/>
          <w:bCs w:val="1"/>
          <w:color w:val="auto"/>
        </w:rPr>
      </w:pPr>
    </w:p>
    <w:p>
      <w:pPr>
        <w:ind w:left="46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Group provides high quality training programs including English and other foreign language training and non-degree seeking vocational training to Chinese students. The Group also operates a full-curriculum primary and secondary boarding school. Products and services offerings of the Group also include book publishing, on-line education, career and studying-abroad advisory services and educational contents &amp; software research and development and distribution.</w:t>
      </w:r>
    </w:p>
    <w:p>
      <w:pPr>
        <w:spacing w:after="0" w:line="123" w:lineRule="exact"/>
        <w:rPr>
          <w:rFonts w:ascii="Arial" w:cs="Arial" w:eastAsia="Arial" w:hAnsi="Arial"/>
          <w:sz w:val="18"/>
          <w:szCs w:val="18"/>
          <w:b w:val="1"/>
          <w:bCs w:val="1"/>
          <w:color w:val="auto"/>
        </w:rPr>
      </w:pPr>
    </w:p>
    <w:p>
      <w:pPr>
        <w:ind w:left="460" w:right="8700" w:hanging="452"/>
        <w:spacing w:after="0" w:line="511" w:lineRule="auto"/>
        <w:tabs>
          <w:tab w:leader="none" w:pos="449"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color w:val="auto"/>
        </w:rPr>
        <w:t>Basis of presentation</w:t>
      </w:r>
    </w:p>
    <w:p>
      <w:pPr>
        <w:ind w:left="460"/>
        <w:spacing w:after="0" w:line="268" w:lineRule="auto"/>
        <w:rPr>
          <w:rFonts w:ascii="Arial" w:cs="Arial" w:eastAsia="Arial" w:hAnsi="Arial"/>
          <w:sz w:val="15"/>
          <w:szCs w:val="15"/>
          <w:b w:val="1"/>
          <w:bCs w:val="1"/>
          <w:color w:val="auto"/>
        </w:rPr>
      </w:pPr>
      <w:r>
        <w:rPr>
          <w:rFonts w:ascii="Arial" w:cs="Arial" w:eastAsia="Arial" w:hAnsi="Arial"/>
          <w:sz w:val="18"/>
          <w:szCs w:val="18"/>
          <w:color w:val="auto"/>
        </w:rPr>
        <w:t>The consolidated financial statements of the Group have been prepared in accordance with the accounting principles generally accepted in the United States of America (“US GAAP”).</w:t>
      </w:r>
    </w:p>
    <w:p>
      <w:pPr>
        <w:spacing w:after="0" w:line="118"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Basis of consolidation</w:t>
      </w:r>
    </w:p>
    <w:p>
      <w:pPr>
        <w:spacing w:after="0" w:line="158"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The consolidated financial statements include the financial statements of the Company, its majority owned subsidiaries and its variable interest entity, New Oriental China and its subsidiaries. All inter-company transactions and balances have been eliminated upon consolidation.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right="7800" w:hanging="452"/>
        <w:spacing w:after="0" w:line="511" w:lineRule="auto"/>
        <w:tabs>
          <w:tab w:leader="none" w:pos="449"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(continued) </w:t>
      </w:r>
      <w:r>
        <w:rPr>
          <w:rFonts w:ascii="Arial" w:cs="Arial" w:eastAsia="Arial" w:hAnsi="Arial"/>
          <w:sz w:val="15"/>
          <w:szCs w:val="15"/>
          <w:b w:val="1"/>
          <w:bCs w:val="1"/>
          <w:i w:val="1"/>
          <w:iCs w:val="1"/>
          <w:color w:val="auto"/>
        </w:rPr>
        <w:t>Significant risks and uncertainties</w:t>
      </w:r>
    </w:p>
    <w:p>
      <w:pPr>
        <w:ind w:left="460" w:right="40"/>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The Group participates in a young and dynamic industry and believes that changes in any of the following areas could have a material adverse effect on the Group’s future financial position, results of operations or cash flows: the share market performance and public interest in companies operating in PRC that are listed on share market in the United States; competition from other competitors; regulatory or other PRC related factors; and risks associated with the Group’s ability to attract and retain employees necessary to support its growth, risks associated with the Group’s growth strategies; and general risks associated with the industry.</w:t>
      </w:r>
    </w:p>
    <w:p>
      <w:pPr>
        <w:spacing w:after="0" w:line="129"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Cash and cash equivalents</w:t>
      </w:r>
    </w:p>
    <w:p>
      <w:pPr>
        <w:spacing w:after="0" w:line="157" w:lineRule="exact"/>
        <w:rPr>
          <w:rFonts w:ascii="Arial" w:cs="Arial" w:eastAsia="Arial" w:hAnsi="Arial"/>
          <w:sz w:val="15"/>
          <w:szCs w:val="15"/>
          <w:b w:val="1"/>
          <w:bCs w:val="1"/>
          <w:color w:val="auto"/>
        </w:rPr>
      </w:pPr>
    </w:p>
    <w:p>
      <w:pPr>
        <w:ind w:left="460" w:right="80"/>
        <w:spacing w:after="0" w:line="268" w:lineRule="auto"/>
        <w:rPr>
          <w:rFonts w:ascii="Arial" w:cs="Arial" w:eastAsia="Arial" w:hAnsi="Arial"/>
          <w:sz w:val="15"/>
          <w:szCs w:val="15"/>
          <w:b w:val="1"/>
          <w:bCs w:val="1"/>
          <w:color w:val="auto"/>
        </w:rPr>
      </w:pPr>
      <w:r>
        <w:rPr>
          <w:rFonts w:ascii="Arial" w:cs="Arial" w:eastAsia="Arial" w:hAnsi="Arial"/>
          <w:sz w:val="18"/>
          <w:szCs w:val="18"/>
          <w:color w:val="auto"/>
        </w:rPr>
        <w:t>Cash and cash equivalents consist of cash on hand and highly liquid investments which are unrestricted as to withdrawal or use, and which have maturities of three months or less when purchased.</w:t>
      </w:r>
    </w:p>
    <w:p>
      <w:pPr>
        <w:spacing w:after="0" w:line="118"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Term deposits</w:t>
      </w:r>
    </w:p>
    <w:p>
      <w:pPr>
        <w:spacing w:after="0" w:line="157"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Term deposits consist of deposits placed with financial institutions with original maturity terms of greater than three months.</w:t>
      </w:r>
    </w:p>
    <w:p>
      <w:pPr>
        <w:spacing w:after="0" w:line="157"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Restricted cash</w:t>
      </w:r>
    </w:p>
    <w:p>
      <w:pPr>
        <w:spacing w:after="0" w:line="157" w:lineRule="exact"/>
        <w:rPr>
          <w:rFonts w:ascii="Arial" w:cs="Arial" w:eastAsia="Arial" w:hAnsi="Arial"/>
          <w:sz w:val="15"/>
          <w:szCs w:val="15"/>
          <w:b w:val="1"/>
          <w:bCs w:val="1"/>
          <w:color w:val="auto"/>
        </w:rPr>
      </w:pPr>
    </w:p>
    <w:p>
      <w:pPr>
        <w:ind w:left="460" w:right="40"/>
        <w:spacing w:after="0" w:line="268" w:lineRule="auto"/>
        <w:rPr>
          <w:rFonts w:ascii="Arial" w:cs="Arial" w:eastAsia="Arial" w:hAnsi="Arial"/>
          <w:sz w:val="15"/>
          <w:szCs w:val="15"/>
          <w:b w:val="1"/>
          <w:bCs w:val="1"/>
          <w:color w:val="auto"/>
        </w:rPr>
      </w:pPr>
      <w:r>
        <w:rPr>
          <w:rFonts w:ascii="Arial" w:cs="Arial" w:eastAsia="Arial" w:hAnsi="Arial"/>
          <w:sz w:val="18"/>
          <w:szCs w:val="18"/>
          <w:color w:val="auto"/>
        </w:rPr>
        <w:t>Restricted cash represents RMB deposit in bank account used as security for issuing a promissory note and deposit for obtaining certain licenses to conduct overseas studying consulting services business.</w:t>
      </w:r>
    </w:p>
    <w:p>
      <w:pPr>
        <w:spacing w:after="0" w:line="118"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Inventory</w:t>
      </w:r>
    </w:p>
    <w:p>
      <w:pPr>
        <w:spacing w:after="0" w:line="157"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Inventory is stated at the lower of cost (average weighted method) or market value.</w:t>
      </w:r>
    </w:p>
    <w:p>
      <w:pPr>
        <w:spacing w:after="0" w:line="157"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Land use right, net</w:t>
      </w:r>
    </w:p>
    <w:p>
      <w:pPr>
        <w:spacing w:after="0" w:line="157" w:lineRule="exact"/>
        <w:rPr>
          <w:rFonts w:ascii="Arial" w:cs="Arial" w:eastAsia="Arial" w:hAnsi="Arial"/>
          <w:sz w:val="15"/>
          <w:szCs w:val="15"/>
          <w:b w:val="1"/>
          <w:bCs w:val="1"/>
          <w:color w:val="auto"/>
        </w:rPr>
      </w:pPr>
    </w:p>
    <w:p>
      <w:pPr>
        <w:ind w:left="460" w:right="180"/>
        <w:spacing w:after="0" w:line="268" w:lineRule="auto"/>
        <w:rPr>
          <w:rFonts w:ascii="Arial" w:cs="Arial" w:eastAsia="Arial" w:hAnsi="Arial"/>
          <w:sz w:val="15"/>
          <w:szCs w:val="15"/>
          <w:b w:val="1"/>
          <w:bCs w:val="1"/>
          <w:color w:val="auto"/>
        </w:rPr>
      </w:pPr>
      <w:r>
        <w:rPr>
          <w:rFonts w:ascii="Arial" w:cs="Arial" w:eastAsia="Arial" w:hAnsi="Arial"/>
          <w:sz w:val="18"/>
          <w:szCs w:val="18"/>
          <w:color w:val="auto"/>
        </w:rPr>
        <w:t>Land use right is recorded at cost less accumulated amortization. Amortization is provided over the term of the land use right agreement on a straight-line basis over the term of the agreement, which is 50 years.</w:t>
      </w:r>
    </w:p>
    <w:p>
      <w:pPr>
        <w:spacing w:after="0" w:line="118"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Property, plant and equipment, net</w:t>
      </w:r>
    </w:p>
    <w:p>
      <w:pPr>
        <w:spacing w:after="0" w:line="158"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Property, plant and equipment is stated at cost less accumulated depreciation and amortization. Depreciation and amortization is calculated on a straight line basis over the following estimated useful lives: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50 years</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Furniture and education equipment</w:t>
            </w:r>
          </w:p>
        </w:tc>
        <w:tc>
          <w:tcPr>
            <w:tcW w:w="7900" w:type="dxa"/>
            <w:vAlign w:val="bottom"/>
          </w:tcPr>
          <w:p>
            <w:pPr>
              <w:ind w:left="1060"/>
              <w:spacing w:after="0"/>
              <w:rPr>
                <w:sz w:val="20"/>
                <w:szCs w:val="20"/>
                <w:color w:val="auto"/>
              </w:rPr>
            </w:pPr>
            <w:r>
              <w:rPr>
                <w:rFonts w:ascii="Arial" w:cs="Arial" w:eastAsia="Arial" w:hAnsi="Arial"/>
                <w:sz w:val="18"/>
                <w:szCs w:val="18"/>
                <w:color w:val="auto"/>
              </w:rPr>
              <w:t>5 years</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10 years</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7900" w:type="dxa"/>
            <w:vAlign w:val="bottom"/>
          </w:tcPr>
          <w:p>
            <w:pPr>
              <w:ind w:left="1060"/>
              <w:spacing w:after="0"/>
              <w:rPr>
                <w:sz w:val="20"/>
                <w:szCs w:val="20"/>
                <w:color w:val="auto"/>
              </w:rPr>
            </w:pPr>
            <w:r>
              <w:rPr>
                <w:rFonts w:ascii="Arial" w:cs="Arial" w:eastAsia="Arial" w:hAnsi="Arial"/>
                <w:sz w:val="18"/>
                <w:szCs w:val="18"/>
                <w:color w:val="auto"/>
              </w:rPr>
              <w:t>3 years</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Shorter of the lease term or estimated useful life</w:t>
            </w:r>
          </w:p>
        </w:tc>
      </w:tr>
      <w:tr>
        <w:trPr>
          <w:trHeight w:val="363"/>
        </w:trPr>
        <w:tc>
          <w:tcPr>
            <w:tcW w:w="3520" w:type="dxa"/>
            <w:vAlign w:val="bottom"/>
          </w:tcPr>
          <w:p>
            <w:pPr>
              <w:spacing w:after="0"/>
              <w:rPr>
                <w:sz w:val="24"/>
                <w:szCs w:val="24"/>
                <w:color w:val="auto"/>
              </w:rPr>
            </w:pPr>
          </w:p>
        </w:tc>
        <w:tc>
          <w:tcPr>
            <w:tcW w:w="7900" w:type="dxa"/>
            <w:vAlign w:val="bottom"/>
          </w:tcPr>
          <w:p>
            <w:pPr>
              <w:ind w:left="2020"/>
              <w:spacing w:after="0"/>
              <w:rPr>
                <w:sz w:val="20"/>
                <w:szCs w:val="20"/>
                <w:color w:val="auto"/>
              </w:rPr>
            </w:pPr>
            <w:r>
              <w:rPr>
                <w:rFonts w:ascii="Arial" w:cs="Arial" w:eastAsia="Arial" w:hAnsi="Arial"/>
                <w:sz w:val="18"/>
                <w:szCs w:val="18"/>
                <w:color w:val="auto"/>
              </w:rPr>
              <w:t>F-12</w:t>
            </w: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right="7700" w:hanging="452"/>
        <w:spacing w:after="0" w:line="479" w:lineRule="auto"/>
        <w:tabs>
          <w:tab w:leader="none" w:pos="449"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Construction in progress</w:t>
      </w:r>
    </w:p>
    <w:p>
      <w:pPr>
        <w:ind w:left="460" w:right="2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Group constructs certain of its property, plant and equipment. In addition to cost under the construction contracts, interest cost and external costs directly related to the construction of such facilities, including equipment installation and shipping costs, are capitalized. Depreciation is recorded at the time assets are placed in service.</w:t>
      </w:r>
    </w:p>
    <w:p>
      <w:pPr>
        <w:spacing w:after="0" w:line="12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Impairment of long-lived assets</w:t>
      </w:r>
    </w:p>
    <w:p>
      <w:pPr>
        <w:spacing w:after="0" w:line="157" w:lineRule="exact"/>
        <w:rPr>
          <w:rFonts w:ascii="Arial" w:cs="Arial" w:eastAsia="Arial" w:hAnsi="Arial"/>
          <w:sz w:val="16"/>
          <w:szCs w:val="16"/>
          <w:b w:val="1"/>
          <w:bCs w:val="1"/>
          <w:color w:val="auto"/>
        </w:rPr>
      </w:pPr>
    </w:p>
    <w:p>
      <w:pPr>
        <w:ind w:left="460"/>
        <w:spacing w:after="0" w:line="323" w:lineRule="auto"/>
        <w:rPr>
          <w:rFonts w:ascii="Arial" w:cs="Arial" w:eastAsia="Arial" w:hAnsi="Arial"/>
          <w:sz w:val="16"/>
          <w:szCs w:val="16"/>
          <w:b w:val="1"/>
          <w:bCs w:val="1"/>
          <w:color w:val="auto"/>
        </w:rPr>
      </w:pPr>
      <w:r>
        <w:rPr>
          <w:rFonts w:ascii="Arial" w:cs="Arial" w:eastAsia="Arial" w:hAnsi="Arial"/>
          <w:sz w:val="15"/>
          <w:szCs w:val="15"/>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based on the fair value of the assets.</w:t>
      </w:r>
    </w:p>
    <w:p>
      <w:pPr>
        <w:spacing w:after="0" w:line="84"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Note payable-trade</w:t>
      </w:r>
    </w:p>
    <w:p>
      <w:pPr>
        <w:spacing w:after="0" w:line="157"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Note payable-trade represents the promissory notes issued for acquiring property and equipment.</w:t>
      </w:r>
    </w:p>
    <w:p>
      <w:pPr>
        <w:spacing w:after="0" w:line="157"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Revenue recognition</w:t>
      </w:r>
    </w:p>
    <w:p>
      <w:pPr>
        <w:spacing w:after="0" w:line="157" w:lineRule="exact"/>
        <w:rPr>
          <w:rFonts w:ascii="Arial" w:cs="Arial" w:eastAsia="Arial" w:hAnsi="Arial"/>
          <w:sz w:val="16"/>
          <w:szCs w:val="16"/>
          <w:b w:val="1"/>
          <w:bCs w:val="1"/>
          <w:color w:val="auto"/>
        </w:rPr>
      </w:pPr>
    </w:p>
    <w:p>
      <w:pPr>
        <w:ind w:left="460" w:right="7560"/>
        <w:spacing w:after="0" w:line="475" w:lineRule="auto"/>
        <w:rPr>
          <w:rFonts w:ascii="Arial" w:cs="Arial" w:eastAsia="Arial" w:hAnsi="Arial"/>
          <w:sz w:val="16"/>
          <w:szCs w:val="16"/>
          <w:b w:val="1"/>
          <w:bCs w:val="1"/>
          <w:color w:val="auto"/>
        </w:rPr>
      </w:pPr>
      <w:r>
        <w:rPr>
          <w:rFonts w:ascii="Arial" w:cs="Arial" w:eastAsia="Arial" w:hAnsi="Arial"/>
          <w:sz w:val="16"/>
          <w:szCs w:val="16"/>
          <w:color w:val="auto"/>
        </w:rPr>
        <w:t xml:space="preserve">The Group recognizes net revenues as follows: </w:t>
      </w:r>
      <w:r>
        <w:rPr>
          <w:rFonts w:ascii="Arial" w:cs="Arial" w:eastAsia="Arial" w:hAnsi="Arial"/>
          <w:sz w:val="16"/>
          <w:szCs w:val="16"/>
          <w:i w:val="1"/>
          <w:iCs w:val="1"/>
          <w:color w:val="auto"/>
        </w:rPr>
        <w:t>a) Educational programs and services</w:t>
      </w:r>
    </w:p>
    <w:p>
      <w:pPr>
        <w:spacing w:after="0" w:line="1"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The educational programs and services consist of language training and test preparation courses. Tuition revenue received for educational programs and services is recognized proportionately as the instructions are delivered, and is reported net of scholarships, business taxes and related surcharges, and tuition refunds. Tuition paid in advance is recorded as deferred revenue. A course trial period commences on the date the course begins and lasts for one week. Tuition refunds are provided to students if they decide within the one-week trial period that they no longer want to take the course. Tuition refunds have been insignificant in 2004, 2005 and 2006.</w:t>
      </w:r>
    </w:p>
    <w:p>
      <w:pPr>
        <w:spacing w:after="0" w:line="129"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Group also sells online-learning cards primarily to distributors. Online-learning card sales represent prepaid service fees received from students for e-learning services. The prepaid service fee is recorded as deferred revenue upon receiving the upfront cash payment. Revenue is recognized upon actual using of the card by the students based on the number of minutes the students uses the e-learning services. Upon the expiration of the online-learning card, which is six months to one year from the date of the sale of the online-learnings cards, the Group will recognize the remaining deferred revenue amount as revenue.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Books and others</w:t>
      </w:r>
    </w:p>
    <w:p>
      <w:pPr>
        <w:spacing w:after="0" w:line="158"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The Group sells educational books and other educational materials either through its own book stores or websites or through third party distributors. Revenue from sales made through the Group’s book store is recognized upon sales to customer. Revenue for distributors is recognized once the products are sold to the end customer.</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20"/>
          </w:cols>
          <w:pgMar w:left="24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82" w:lineRule="exact"/>
        <w:rPr>
          <w:rFonts w:ascii="Arial" w:cs="Arial" w:eastAsia="Arial" w:hAnsi="Arial"/>
          <w:sz w:val="18"/>
          <w:szCs w:val="18"/>
          <w:b w:val="1"/>
          <w:bCs w:val="1"/>
          <w:color w:val="auto"/>
        </w:rPr>
      </w:pPr>
    </w:p>
    <w:p>
      <w:pPr>
        <w:ind w:left="660" w:hanging="196"/>
        <w:spacing w:after="0"/>
        <w:tabs>
          <w:tab w:leader="none" w:pos="660" w:val="left"/>
        </w:tabs>
        <w:numPr>
          <w:ilvl w:val="1"/>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Books and others (continued)</w:t>
      </w:r>
    </w:p>
    <w:p>
      <w:pPr>
        <w:spacing w:after="0" w:line="30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Group also provides overseas studies consulting services to students. The Group charges each student a fee based on the scope of consulting services requested by the student and recognizes revenue as the services are delivered.</w:t>
      </w:r>
    </w:p>
    <w:p>
      <w:pPr>
        <w:spacing w:after="0" w:line="118"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total revenues are net of PRC business taxes and related surcharges, as well as scholarships, discounts and refunds which amounted to RMB14,319, RMB20,369 and RMB23,773, respectively for 2004, 2005 and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Capitalization of interest</w:t>
      </w:r>
    </w:p>
    <w:p>
      <w:pPr>
        <w:spacing w:after="0" w:line="158"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Interest cost incurred on funds used to construct property, plant and equipment during the active construction period is capitalized. The interest capitalized is determined by applying the borrowing interest rate to the average amount of accumulated capital expenditures for the assets under construction during the period. Capitalized interest is added to the cost of the underlying assets and is amortized over the useful life of the assets. Capitalized interest of RMB1,348, RMB2,792 and RMB4,257 in 2004, 2005 and 2006, respectively, has been added to the cost of the underlying assets during the year and is amortized over the respective useful life of the assets. During 2004, 2005 and 2006, the Group recorded amortization expenses relating to the capitalized interest of RMB11, RMB41 and RMB121, respectively.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Leases where substantially all the rewards and risks of ownership of assets remain with the leasing company are accounted for as operating leases. Payments made under operating leases are charged to the consolidated statements of operations on a straight-line basis over the shorter of the lease term or estimated useful life.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58"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Group expenses advertising costs as incurred. Total advertising expenses were RMB16,062, RMB19,342 and RMB17,510 for the years ended May 31, 2004, 2005 and 2006, respectively, and have been included as part of selling and marketing expenses.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subsidies</w:t>
      </w:r>
    </w:p>
    <w:p>
      <w:pPr>
        <w:spacing w:after="0" w:line="158" w:lineRule="exact"/>
        <w:rPr>
          <w:sz w:val="20"/>
          <w:szCs w:val="20"/>
          <w:color w:val="auto"/>
        </w:rPr>
      </w:pPr>
    </w:p>
    <w:p>
      <w:pPr>
        <w:ind w:left="460" w:right="220"/>
        <w:spacing w:after="0" w:line="306" w:lineRule="auto"/>
        <w:rPr>
          <w:sz w:val="20"/>
          <w:szCs w:val="20"/>
          <w:color w:val="auto"/>
        </w:rPr>
      </w:pPr>
      <w:r>
        <w:rPr>
          <w:rFonts w:ascii="Arial" w:cs="Arial" w:eastAsia="Arial" w:hAnsi="Arial"/>
          <w:sz w:val="16"/>
          <w:szCs w:val="16"/>
          <w:color w:val="auto"/>
        </w:rPr>
        <w:t>The Group receives government subsidies from the local government authority for encouraging developing local education industry, which amounted RMB2,435, RMB300 and RMB370 for the years ended May 31, 2004, 2005, and 2006. Upon receiving the subsidy, the Group recorded the government subsidies as other income as there were no specific expenses required to be incurred by the Group to obtain the subsidies.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58"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The functional currency of the Group excluding the Company is the Renminbi (“RMB”). Transactions in other currencies are recorded in RMB at the rates of exchange prevailing when the transactions occur. Monetary assets and liabilities denominated in other currencies are translated into RMB at rates of exchange in effect at the balance sheet dates. Exchange gains and losses are recorded in the consolidated statements of operations.</w:t>
      </w:r>
    </w:p>
    <w:p>
      <w:pPr>
        <w:spacing w:after="0" w:line="9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functional currency of the Company is the United States dollar (“US$”). Assets and liabilities are translated at the exchange rates at the balance sheet date, equity accounts are translated at historical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exchange rates and revenues, expenses gains and losses are translated using the average rate for the year. Translation adjustments are reported as cumulative translation adjustments and are shown as a separate component of other comprehensive loss in the statement of shareholders’ equity. The Group has chosen the RMB as their reporting currency.</w:t>
      </w:r>
    </w:p>
    <w:p>
      <w:pPr>
        <w:spacing w:after="0" w:line="12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Translation into United States Dollars</w:t>
      </w:r>
    </w:p>
    <w:p>
      <w:pPr>
        <w:spacing w:after="0" w:line="157" w:lineRule="exact"/>
        <w:rPr>
          <w:rFonts w:ascii="Arial" w:cs="Arial" w:eastAsia="Arial" w:hAnsi="Arial"/>
          <w:sz w:val="18"/>
          <w:szCs w:val="18"/>
          <w:b w:val="1"/>
          <w:bCs w:val="1"/>
          <w:color w:val="auto"/>
        </w:rPr>
      </w:pPr>
    </w:p>
    <w:p>
      <w:pPr>
        <w:ind w:left="460" w:right="16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The financial statements of the Group are stated in RMB. The translation of RMB amounts at and for the year May 31, 2006 into United States dollar (“US$”) is included solely for the convenience of readers and has been made at the rate of RMB8.0188 to US$1, the approximate free rate of exchange at May 31, 2006. Such translations should not be construed as representations that RMB amounts could be converted into US$ at that rate or any other rate.</w:t>
      </w:r>
    </w:p>
    <w:p>
      <w:pPr>
        <w:spacing w:after="0" w:line="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w:t>
      </w:r>
    </w:p>
    <w:p>
      <w:pPr>
        <w:spacing w:after="0" w:line="157" w:lineRule="exact"/>
        <w:rPr>
          <w:rFonts w:ascii="Arial" w:cs="Arial" w:eastAsia="Arial" w:hAnsi="Arial"/>
          <w:sz w:val="18"/>
          <w:szCs w:val="18"/>
          <w:b w:val="1"/>
          <w:bCs w:val="1"/>
          <w:color w:val="auto"/>
        </w:rPr>
      </w:pPr>
    </w:p>
    <w:p>
      <w:pPr>
        <w:ind w:left="46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revenue and expenses in the financial statements and accompanying notes. Significant accounting estimates reflected in the Group’s consolidated financial statements include the useful lives of and impairment for property, plant and equipment and share-based compensation. Actual results could differ from those estimates.</w:t>
      </w:r>
    </w:p>
    <w:p>
      <w:pPr>
        <w:spacing w:after="0" w:line="1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of financial instruments</w:t>
      </w:r>
    </w:p>
    <w:p>
      <w:pPr>
        <w:spacing w:after="0" w:line="157"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Group’s financial instruments consist primarily of cash and cash equivalents, term deposit, restricted cash and short-term borrowings. The fair value of these financial instruments approximate their carrying amounts reported in the consolidated balance sheets due to the short-term maturity of these instruments.</w:t>
      </w:r>
    </w:p>
    <w:p>
      <w:pPr>
        <w:spacing w:after="0" w:line="12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income per share</w:t>
      </w:r>
    </w:p>
    <w:p>
      <w:pPr>
        <w:spacing w:after="0" w:line="157" w:lineRule="exact"/>
        <w:rPr>
          <w:rFonts w:ascii="Arial" w:cs="Arial" w:eastAsia="Arial" w:hAnsi="Arial"/>
          <w:sz w:val="18"/>
          <w:szCs w:val="18"/>
          <w:b w:val="1"/>
          <w:bCs w:val="1"/>
          <w:color w:val="auto"/>
        </w:rPr>
      </w:pPr>
    </w:p>
    <w:p>
      <w:pPr>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Basic net income per share is computed by dividing income attributable to holders of common shares by the weighted average number of common shares outstanding during the year. Diluted net income per common share reflects the potential dilution that could occur if securities or other contracts to issue common shares were exercised into common shares. Common share equivalents are excluded from the computation of the diluted net income per share in years when their effect would be anti-dilutive.</w:t>
      </w:r>
    </w:p>
    <w:p>
      <w:pPr>
        <w:spacing w:after="0" w:line="129" w:lineRule="exact"/>
        <w:rPr>
          <w:rFonts w:ascii="Arial" w:cs="Arial" w:eastAsia="Arial" w:hAnsi="Arial"/>
          <w:sz w:val="18"/>
          <w:szCs w:val="18"/>
          <w:b w:val="1"/>
          <w:bCs w:val="1"/>
          <w:color w:val="auto"/>
        </w:rPr>
      </w:pPr>
    </w:p>
    <w:p>
      <w:pPr>
        <w:ind w:left="46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a result of the recapitalization relating to the incorporation of New Oriental Education Technology Group Inc., the outstanding common shares have been retroactively restated to 100,000,000 shares in the denominator for each year presented.</w:t>
      </w:r>
    </w:p>
    <w:p>
      <w:pPr>
        <w:spacing w:after="0" w:line="1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460" w:right="240"/>
        <w:spacing w:after="0" w:line="306" w:lineRule="auto"/>
        <w:rPr>
          <w:sz w:val="20"/>
          <w:szCs w:val="20"/>
          <w:color w:val="auto"/>
        </w:rPr>
      </w:pPr>
      <w:r>
        <w:rPr>
          <w:rFonts w:ascii="Arial" w:cs="Arial" w:eastAsia="Arial" w:hAnsi="Arial"/>
          <w:sz w:val="16"/>
          <w:szCs w:val="16"/>
          <w:color w:val="auto"/>
        </w:rPr>
        <w:t>Deferred income taxes are recognized for temporary differences between the tax basis of assets and liabilities and their reported amounts in the financial statements, net of operating loss carry forwards and credits, by applying enacted statutory tax rates applicable to future years. Deferred tax assets are reduced by a valuation allowance when, in the opinion of management, it is more likely than not that some portion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all of the deferred tax assets will not be realized. Current income taxes are provided for in accordance with the laws of the relevant taxing authorities.</w:t>
      </w:r>
    </w:p>
    <w:p>
      <w:pPr>
        <w:spacing w:after="0" w:line="1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Comprehensive income</w:t>
      </w:r>
    </w:p>
    <w:p>
      <w:pPr>
        <w:spacing w:after="0" w:line="157" w:lineRule="exact"/>
        <w:rPr>
          <w:rFonts w:ascii="Arial" w:cs="Arial" w:eastAsia="Arial" w:hAnsi="Arial"/>
          <w:sz w:val="18"/>
          <w:szCs w:val="18"/>
          <w:b w:val="1"/>
          <w:bCs w:val="1"/>
          <w:color w:val="auto"/>
        </w:rPr>
      </w:pPr>
    </w:p>
    <w:p>
      <w:pPr>
        <w:ind w:left="460" w:right="7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Comprehensive income includes net income and foreign currency translation adjustments. Comprehensive income is reported in the statements of shareholders’ equity.</w:t>
      </w:r>
    </w:p>
    <w:p>
      <w:pPr>
        <w:spacing w:after="0" w:line="1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Share-based compensation</w:t>
      </w:r>
    </w:p>
    <w:p>
      <w:pPr>
        <w:spacing w:after="0" w:line="157" w:lineRule="exact"/>
        <w:rPr>
          <w:rFonts w:ascii="Arial" w:cs="Arial" w:eastAsia="Arial" w:hAnsi="Arial"/>
          <w:sz w:val="18"/>
          <w:szCs w:val="18"/>
          <w:b w:val="1"/>
          <w:bCs w:val="1"/>
          <w:color w:val="auto"/>
        </w:rPr>
      </w:pPr>
    </w:p>
    <w:p>
      <w:pPr>
        <w:ind w:left="460" w:right="1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Group has adopted SFAS No. 123R, “Share-based Payment”, which requires that share-based payment transactions with employees, such as share options, be measured based on the grant-date fair value of the equity instrument issued and recognized as compensation expense over the requisite service period, with a corresponding addition to paid-in capital.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w:t>
      </w:r>
    </w:p>
    <w:p>
      <w:pPr>
        <w:spacing w:after="0" w:line="10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pronouncements</w:t>
      </w:r>
    </w:p>
    <w:p>
      <w:pPr>
        <w:spacing w:after="0" w:line="157" w:lineRule="exact"/>
        <w:rPr>
          <w:rFonts w:ascii="Arial" w:cs="Arial" w:eastAsia="Arial" w:hAnsi="Arial"/>
          <w:sz w:val="18"/>
          <w:szCs w:val="18"/>
          <w:b w:val="1"/>
          <w:bCs w:val="1"/>
          <w:color w:val="auto"/>
        </w:rPr>
      </w:pPr>
    </w:p>
    <w:p>
      <w:pPr>
        <w:ind w:left="4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February 2006, the FASB issued SFAS No. 155, “Accounting for Certain Hybrid Instruments-an amendment of FASB Statements 133 and 140”, which is effective for all financial instruments acquired or issued after the beginning of an entity’s first fiscal year that begins after September 15, 2006. The statement improves financial reporting by eliminating the exemption form applying SFAS No. 133 to interests in securitized financial assets so that similar instruments are accounted for similarly regardless of the form of the instruments. The statement also improves financial reporting by allowing a preparer to elect fair value measurement at acquisition, at issuance, or when a previously recognized financial instrument is subject to a re-measurement event, on an instrument-by-instrument basis, in cases in which a derivative would otherwise have to bifurcated, if the holder elects to account for the whole instrument on a fair value basis. The Group is currently evaluating the impact, if any, of this statement on the consolidated combined financial statements.</w:t>
      </w:r>
    </w:p>
    <w:p>
      <w:pPr>
        <w:spacing w:after="0" w:line="104"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May 2005, the FASB issued SFAS No. 154, “Accounting Changes and Error Corrections”, which replaces Accounting Principles Board Opinions No. 20 “Accounting Changes” and SFAS No. 3, “Reporting Accounting Changes in Interim Financial Statements—An Amendment of APB Opinion No. 28.” SFAS No.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No. 154 is effective for accounting changes and corrections of errors made in fiscal years beginning after December 15, 2005. The Group does not anticipate that the adoption of this statement will have a material effect on our financial position or results of operations.</w:t>
      </w:r>
    </w:p>
    <w:p>
      <w:pPr>
        <w:spacing w:after="0" w:line="10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In November 2004, the FASB issued SFAS No. 151, “Inventory Costs—an amendment of ARB No. 43, Chapter 4.” SFAS No. 151 clarifies the accounting that requires abnormal amounts of idle facility expenses, freight, handling costs, and spoilage costs to be recognized as current-period charges. It also requires that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allocation of fixed production overheads to the costs of conversion be based on the normal capacity of the production facilities. SFAS No. 151 will be effective for inventory costs incurred on or after July 1, 2005. The Group does not anticipate that the adoption of this standard will have a material effect on our financial position or results of operations.</w:t>
      </w:r>
    </w:p>
    <w:p>
      <w:pPr>
        <w:spacing w:after="0" w:line="126" w:lineRule="exact"/>
        <w:rPr>
          <w:rFonts w:ascii="Arial" w:cs="Arial" w:eastAsia="Arial" w:hAnsi="Arial"/>
          <w:sz w:val="18"/>
          <w:szCs w:val="18"/>
          <w:b w:val="1"/>
          <w:bCs w:val="1"/>
          <w:color w:val="auto"/>
        </w:rPr>
      </w:pPr>
    </w:p>
    <w:p>
      <w:pPr>
        <w:ind w:left="460" w:right="1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December 2004, the FASB issued SFAS No. 153, “Exchanges of Nonmonetary Assets—an amendment of APB Opinion No. 29,” which amends Accounting Principles Board Opinion No. 29, “Accounting for Nonmonetary Transactions,” to eliminate the exception for nonmonetary exchanges of similar productive assets and replaces it with a general exception for exchanges of nonmonetary assets that do not have commercial substance. SFAS No. 153 is effective for nonmonetary assets exchanges occurring in fiscal periods beginning after June 15, 2005. The Group does not anticipate that the adoption of this standard will have a material effect on our financial position or results of operations.</w:t>
      </w:r>
    </w:p>
    <w:p>
      <w:pPr>
        <w:spacing w:after="0" w:line="10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Unaudited pro forma information</w:t>
      </w:r>
    </w:p>
    <w:p>
      <w:pPr>
        <w:spacing w:after="0" w:line="157" w:lineRule="exact"/>
        <w:rPr>
          <w:rFonts w:ascii="Arial" w:cs="Arial" w:eastAsia="Arial" w:hAnsi="Arial"/>
          <w:sz w:val="18"/>
          <w:szCs w:val="18"/>
          <w:b w:val="1"/>
          <w:bCs w:val="1"/>
          <w:color w:val="auto"/>
        </w:rPr>
      </w:pPr>
    </w:p>
    <w:p>
      <w:pPr>
        <w:ind w:left="460" w:right="6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pro forma balance sheet information as of May 31, 2006 assumes the conversion upon completion of the initial public offering of the Series A convertible preferred shares outstanding as of May 31, 2006 into common shares.</w:t>
      </w:r>
    </w:p>
    <w:p>
      <w:pPr>
        <w:spacing w:after="0" w:line="1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Unaudited pro forma net income per share</w:t>
      </w:r>
    </w:p>
    <w:p>
      <w:pPr>
        <w:spacing w:after="0" w:line="157"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Pro forma basic and diluted income per common share is computed by dividing income attributable to holders of common shares by the weighted average number of common shares outstanding for the year plus the number of common shares resulting from the assumed conversion upon the closing of the planned initial public offering of the outstanding Series A convertible preferred shares.</w:t>
      </w:r>
    </w:p>
    <w:p>
      <w:pPr>
        <w:spacing w:after="0" w:line="12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63" w:lineRule="exact"/>
        <w:rPr>
          <w:rFonts w:ascii="Arial" w:cs="Arial" w:eastAsia="Arial" w:hAnsi="Arial"/>
          <w:sz w:val="18"/>
          <w:szCs w:val="18"/>
          <w:b w:val="1"/>
          <w:bCs w:val="1"/>
          <w:color w:val="auto"/>
        </w:rPr>
      </w:pPr>
    </w:p>
    <w:p>
      <w:pPr>
        <w:ind w:left="460" w:right="62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In December 2004, the Group decided to dispose of its 96.2% subsidiary, Liandong Weiye. Liandong Weiye carried out all of the Group’s Wireless Application Protocol (“WAP”) business. The disposal was effected in order to facilitate the Group’s plan to enhance its existing core business.</w:t>
      </w:r>
    </w:p>
    <w:p>
      <w:pPr>
        <w:spacing w:after="0" w:line="48" w:lineRule="exact"/>
        <w:rPr>
          <w:rFonts w:ascii="Arial" w:cs="Arial" w:eastAsia="Arial" w:hAnsi="Arial"/>
          <w:sz w:val="18"/>
          <w:szCs w:val="18"/>
          <w:b w:val="1"/>
          <w:bCs w:val="1"/>
          <w:color w:val="auto"/>
        </w:rPr>
      </w:pPr>
    </w:p>
    <w:p>
      <w:pPr>
        <w:ind w:left="4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disposal of Liandong Weiye was completed in two stages. The first stage was completed in March 2005 whereby the Group disposed of 56.2% equity interest to Mr. Qian Yongqiang (“Mr. Qian”), a director of the Group, for a cash consideration of RMB5,123 which represented the book value of the net assets disposed. This price was determined based on the Group’s extensive negotiations with Mr. Qian and approved by all the Group’s non-interested directors. Accordingly, no gain or loss was recorded on the transaction. The second stage was completed in August 2005 whereby the Group disposed of the remaining equity interest to a newly created entity which is owned by the same shareholders of the Group for nil consideration. Thus the transaction was recorded as a sale of assets between entities under common control. Accordingly, the Group recorded a dividend in kind of RMB25,526. Commencing with the initial 56.2% equity interest disposal the Group did not have any business involvement in Liandong Weiye.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 (continued)</w:t>
      </w:r>
    </w:p>
    <w:p>
      <w:pPr>
        <w:spacing w:after="0" w:line="163"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accordance with Statement of Financial Accounting Standard No. 144 “Accounting for the Impairment or Disposal of Long-Lived Assets”, the assets and liabilities of Liandong Weiye have been separately presented in the accompanying consolidated balance sheets at May 31, 2004 and 2005 and consist of the following:</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7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040" w:type="dxa"/>
            <w:vAlign w:val="bottom"/>
            <w:gridSpan w:val="2"/>
          </w:tcPr>
          <w:p>
            <w:pPr>
              <w:jc w:val="center"/>
              <w:ind w:left="2174"/>
              <w:spacing w:after="0"/>
              <w:rPr>
                <w:sz w:val="20"/>
                <w:szCs w:val="20"/>
                <w:color w:val="auto"/>
              </w:rPr>
            </w:pPr>
            <w:r>
              <w:rPr>
                <w:rFonts w:ascii="Arial" w:cs="Arial" w:eastAsia="Arial" w:hAnsi="Arial"/>
                <w:sz w:val="14"/>
                <w:szCs w:val="14"/>
                <w:b w:val="1"/>
                <w:bCs w:val="1"/>
                <w:color w:val="auto"/>
                <w:w w:val="91"/>
              </w:rPr>
              <w:t>May 31, 2004</w:t>
            </w:r>
          </w:p>
        </w:tc>
        <w:tc>
          <w:tcPr>
            <w:tcW w:w="1560" w:type="dxa"/>
            <w:vAlign w:val="bottom"/>
            <w:gridSpan w:val="2"/>
          </w:tcPr>
          <w:p>
            <w:pPr>
              <w:jc w:val="center"/>
              <w:ind w:left="674"/>
              <w:spacing w:after="0"/>
              <w:rPr>
                <w:sz w:val="20"/>
                <w:szCs w:val="20"/>
                <w:color w:val="auto"/>
              </w:rPr>
            </w:pPr>
            <w:r>
              <w:rPr>
                <w:rFonts w:ascii="Arial" w:cs="Arial" w:eastAsia="Arial" w:hAnsi="Arial"/>
                <w:sz w:val="14"/>
                <w:szCs w:val="14"/>
                <w:b w:val="1"/>
                <w:bCs w:val="1"/>
                <w:color w:val="auto"/>
                <w:w w:val="88"/>
              </w:rPr>
              <w:t>May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RMB</w:t>
            </w:r>
          </w:p>
        </w:tc>
        <w:tc>
          <w:tcPr>
            <w:tcW w:w="7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19,555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1,210</w:t>
            </w:r>
          </w:p>
        </w:tc>
        <w:tc>
          <w:tcPr>
            <w:tcW w:w="7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25,627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 of discontinued operations:</w:t>
            </w:r>
          </w:p>
        </w:tc>
        <w:tc>
          <w:tcPr>
            <w:tcW w:w="2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Property, plant and equipment, net</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2,485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Accounts payable-trade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27,161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Income tax payable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28,671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-1529715</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-1529715</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-1529715</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-1529715</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-1092835</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-1092835</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-1092835</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-1092835</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Summarized operating results from the discontinued operations included in the Group’s consolidated statement of operations were as follows for the year ended May 31, 2004, 2005 and 2006:</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Year ended May 31,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940" w:type="dxa"/>
            <w:vAlign w:val="bottom"/>
            <w:gridSpan w:val="2"/>
          </w:tcPr>
          <w:p>
            <w:pPr>
              <w:jc w:val="center"/>
              <w:ind w:left="179"/>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22"/>
                <w:szCs w:val="22"/>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21"/>
                <w:szCs w:val="21"/>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RMB</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34,051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121,919</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profit from discontinued operations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46,516</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(447)</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(5,361)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41,155</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-749300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-749300</wp:posOffset>
            </wp:positionV>
            <wp:extent cx="3873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-749300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-749300</wp:posOffset>
            </wp:positionV>
            <wp:extent cx="3873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-749300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-749300</wp:posOffset>
            </wp:positionV>
            <wp:extent cx="3873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operating results from the discontinued operations reflect 100% of Liandong Weiye’s operations in 2004, 100% of Liandong Weiye’s operations for the first three months from January to March of 2005 and 40% of Liandong Weiye’s from April through the end of August 2005, reflecting the Group’s disposal of its 56.2% ownership interest in Liandong Weiye in March 2005, and 40% of Liandong Weiye’s operations from September 2005 through the end of that year, reflecting the Group’s disposal of its remaining equity interest in Liandong Weiye in August 2005.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Inventory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As of May 31,</w:t>
            </w:r>
          </w:p>
        </w:tc>
        <w:tc>
          <w:tcPr>
            <w:tcW w:w="620" w:type="dxa"/>
            <w:vAlign w:val="bottom"/>
          </w:tcPr>
          <w:p>
            <w:pPr>
              <w:spacing w:after="0"/>
              <w:rPr>
                <w:sz w:val="15"/>
                <w:szCs w:val="15"/>
                <w:color w:val="auto"/>
              </w:rPr>
            </w:pP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63"/>
        </w:trPr>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940" w:type="dxa"/>
            <w:vAlign w:val="bottom"/>
            <w:gridSpan w:val="3"/>
          </w:tcPr>
          <w:p>
            <w:pPr>
              <w:jc w:val="center"/>
              <w:ind w:left="215"/>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50"/>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RMB</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RMB</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RMB</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Course materials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15,687</w:t>
            </w:r>
          </w:p>
        </w:tc>
      </w:tr>
      <w:tr>
        <w:trPr>
          <w:trHeight w:val="222"/>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Publications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16,203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16,743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20,731</w:t>
            </w: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36,418</w:t>
            </w:r>
          </w:p>
        </w:tc>
      </w:tr>
      <w:tr>
        <w:trPr>
          <w:trHeight w:val="132"/>
        </w:trPr>
        <w:tc>
          <w:tcPr>
            <w:tcW w:w="300" w:type="dxa"/>
            <w:vAlign w:val="bottom"/>
          </w:tcPr>
          <w:p>
            <w:pPr>
              <w:spacing w:after="0"/>
              <w:rPr>
                <w:sz w:val="11"/>
                <w:szCs w:val="11"/>
                <w:color w:val="auto"/>
              </w:rPr>
            </w:pPr>
          </w:p>
        </w:tc>
        <w:tc>
          <w:tcPr>
            <w:tcW w:w="8060" w:type="dxa"/>
            <w:vAlign w:val="bottom"/>
            <w:gridSpan w:val="2"/>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r>
        <w:trPr>
          <w:trHeight w:val="467"/>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5.</w:t>
            </w:r>
          </w:p>
        </w:tc>
        <w:tc>
          <w:tcPr>
            <w:tcW w:w="8060" w:type="dxa"/>
            <w:vAlign w:val="bottom"/>
            <w:gridSpan w:val="2"/>
          </w:tcPr>
          <w:p>
            <w:pPr>
              <w:ind w:left="160"/>
              <w:spacing w:after="0"/>
              <w:rPr>
                <w:sz w:val="20"/>
                <w:szCs w:val="20"/>
                <w:color w:val="auto"/>
              </w:rPr>
            </w:pPr>
            <w:r>
              <w:rPr>
                <w:rFonts w:ascii="Arial" w:cs="Arial" w:eastAsia="Arial" w:hAnsi="Arial"/>
                <w:sz w:val="18"/>
                <w:szCs w:val="18"/>
                <w:b w:val="1"/>
                <w:bCs w:val="1"/>
                <w:color w:val="auto"/>
              </w:rPr>
              <w:t>Prepaid expenses and other current assets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65"/>
        </w:trPr>
        <w:tc>
          <w:tcPr>
            <w:tcW w:w="300" w:type="dxa"/>
            <w:vAlign w:val="bottom"/>
          </w:tcPr>
          <w:p>
            <w:pPr>
              <w:spacing w:after="0"/>
              <w:rPr>
                <w:sz w:val="24"/>
                <w:szCs w:val="24"/>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As of May 31,</w:t>
            </w:r>
          </w:p>
        </w:tc>
        <w:tc>
          <w:tcPr>
            <w:tcW w:w="620" w:type="dxa"/>
            <w:vAlign w:val="bottom"/>
          </w:tcPr>
          <w:p>
            <w:pPr>
              <w:spacing w:after="0"/>
              <w:rPr>
                <w:sz w:val="24"/>
                <w:szCs w:val="24"/>
                <w:color w:val="auto"/>
              </w:rPr>
            </w:pP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63"/>
        </w:trPr>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940" w:type="dxa"/>
            <w:vAlign w:val="bottom"/>
            <w:gridSpan w:val="3"/>
          </w:tcPr>
          <w:p>
            <w:pPr>
              <w:jc w:val="center"/>
              <w:ind w:left="215"/>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gridSpan w:val="3"/>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50"/>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RMB</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RMB</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RMB</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Prepaid advertising fees</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13,128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Rental deposits</w:t>
            </w:r>
          </w:p>
        </w:tc>
        <w:tc>
          <w:tcPr>
            <w:tcW w:w="620" w:type="dxa"/>
            <w:vAlign w:val="bottom"/>
          </w:tcPr>
          <w:p>
            <w:pPr>
              <w:jc w:val="right"/>
              <w:spacing w:after="0"/>
              <w:rPr>
                <w:sz w:val="20"/>
                <w:szCs w:val="20"/>
                <w:color w:val="auto"/>
              </w:rPr>
            </w:pPr>
            <w:r>
              <w:rPr>
                <w:rFonts w:ascii="Arial" w:cs="Arial" w:eastAsia="Arial" w:hAnsi="Arial"/>
                <w:sz w:val="18"/>
                <w:szCs w:val="18"/>
                <w:color w:val="auto"/>
              </w:rPr>
              <w:t>3,503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5,649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6,304</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Staff advances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Value added tax recoverable</w:t>
            </w:r>
          </w:p>
        </w:tc>
        <w:tc>
          <w:tcPr>
            <w:tcW w:w="620" w:type="dxa"/>
            <w:vAlign w:val="bottom"/>
          </w:tcPr>
          <w:p>
            <w:pPr>
              <w:jc w:val="right"/>
              <w:spacing w:after="0"/>
              <w:rPr>
                <w:sz w:val="20"/>
                <w:szCs w:val="20"/>
                <w:color w:val="auto"/>
              </w:rPr>
            </w:pPr>
            <w:r>
              <w:rPr>
                <w:rFonts w:ascii="Arial" w:cs="Arial" w:eastAsia="Arial" w:hAnsi="Arial"/>
                <w:sz w:val="18"/>
                <w:szCs w:val="18"/>
                <w:color w:val="auto"/>
              </w:rPr>
              <w:t>1,944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1,002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2,806</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Deposit for construction of school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Prepaid house property tax and other tax</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Prepaid professional service fees related to initial public offering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22"/>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Others</w:t>
            </w:r>
          </w:p>
        </w:tc>
        <w:tc>
          <w:tcPr>
            <w:tcW w:w="620" w:type="dxa"/>
            <w:vAlign w:val="bottom"/>
          </w:tcPr>
          <w:p>
            <w:pPr>
              <w:jc w:val="right"/>
              <w:spacing w:after="0"/>
              <w:rPr>
                <w:sz w:val="20"/>
                <w:szCs w:val="20"/>
                <w:color w:val="auto"/>
              </w:rPr>
            </w:pPr>
            <w:r>
              <w:rPr>
                <w:rFonts w:ascii="Arial" w:cs="Arial" w:eastAsia="Arial" w:hAnsi="Arial"/>
                <w:sz w:val="18"/>
                <w:szCs w:val="18"/>
                <w:color w:val="auto"/>
              </w:rPr>
              <w:t>672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3,705</w:t>
            </w: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27,851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35,655</w:t>
            </w:r>
          </w:p>
        </w:tc>
      </w:tr>
      <w:tr>
        <w:trPr>
          <w:trHeight w:val="132"/>
        </w:trPr>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-2979420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-2979420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-2979420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-2979420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-2979420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-2979420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net consist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7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As of May 31,</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7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84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22"/>
                <w:szCs w:val="22"/>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r>
      <w:tr>
        <w:trPr>
          <w:trHeight w:val="95"/>
        </w:trPr>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7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21"/>
                <w:szCs w:val="21"/>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RMB</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RMB</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223,109</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590,074</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Transportation equipment</w:t>
            </w:r>
          </w:p>
        </w:tc>
        <w:tc>
          <w:tcPr>
            <w:tcW w:w="640" w:type="dxa"/>
            <w:vAlign w:val="bottom"/>
          </w:tcPr>
          <w:p>
            <w:pPr>
              <w:jc w:val="right"/>
              <w:spacing w:after="0"/>
              <w:rPr>
                <w:sz w:val="20"/>
                <w:szCs w:val="20"/>
                <w:color w:val="auto"/>
              </w:rPr>
            </w:pPr>
            <w:r>
              <w:rPr>
                <w:rFonts w:ascii="Arial" w:cs="Arial" w:eastAsia="Arial" w:hAnsi="Arial"/>
                <w:sz w:val="18"/>
                <w:szCs w:val="18"/>
                <w:color w:val="auto"/>
              </w:rPr>
              <w:t>16,470</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21,320</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23,636</w:t>
            </w: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education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68,477</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103,429</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640" w:type="dxa"/>
            <w:vAlign w:val="bottom"/>
          </w:tcPr>
          <w:p>
            <w:pPr>
              <w:jc w:val="right"/>
              <w:spacing w:after="0"/>
              <w:rPr>
                <w:sz w:val="20"/>
                <w:szCs w:val="20"/>
                <w:color w:val="auto"/>
              </w:rPr>
            </w:pPr>
            <w:r>
              <w:rPr>
                <w:rFonts w:ascii="Arial" w:cs="Arial" w:eastAsia="Arial" w:hAnsi="Arial"/>
                <w:sz w:val="18"/>
                <w:szCs w:val="18"/>
                <w:color w:val="auto"/>
              </w:rPr>
              <w:t>19,205</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27,748</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32,954</w:t>
            </w: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27,616</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49,046</w:t>
            </w:r>
          </w:p>
        </w:tc>
        <w:tc>
          <w:tcPr>
            <w:tcW w:w="80" w:type="dxa"/>
            <w:vAlign w:val="bottom"/>
            <w:shd w:val="clear" w:color="auto" w:fill="CCEEFF"/>
          </w:tcPr>
          <w:p>
            <w:pPr>
              <w:spacing w:after="0"/>
              <w:rPr>
                <w:sz w:val="18"/>
                <w:szCs w:val="18"/>
                <w:color w:val="auto"/>
              </w:rPr>
            </w:pPr>
          </w:p>
        </w:tc>
      </w:tr>
      <w:tr>
        <w:trPr>
          <w:trHeight w:val="108"/>
        </w:trPr>
        <w:tc>
          <w:tcPr>
            <w:tcW w:w="7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147,280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368,270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799,139</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(29,855)</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(55,478)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(92,574)</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in-progress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345,361</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08"/>
        </w:trPr>
        <w:tc>
          <w:tcPr>
            <w:tcW w:w="7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182,166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658,153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706,565</w:t>
            </w:r>
          </w:p>
        </w:tc>
        <w:tc>
          <w:tcPr>
            <w:tcW w:w="80" w:type="dxa"/>
            <w:vAlign w:val="bottom"/>
            <w:shd w:val="clear" w:color="auto" w:fill="CCEEFF"/>
          </w:tcPr>
          <w:p>
            <w:pPr>
              <w:spacing w:after="0"/>
              <w:rPr>
                <w:sz w:val="18"/>
                <w:szCs w:val="18"/>
                <w:color w:val="auto"/>
              </w:rPr>
            </w:pPr>
          </w:p>
        </w:tc>
      </w:tr>
      <w:tr>
        <w:trPr>
          <w:trHeight w:val="132"/>
        </w:trPr>
        <w:tc>
          <w:tcPr>
            <w:tcW w:w="7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3873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3873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For the years ended May 31, 2004, 2005 and 2006, depreciation and amortization expense was RMB17,956, RMB23,857 and RMB41,266, respectively. F-19</w:t>
      </w:r>
    </w:p>
    <w:p>
      <w:pPr>
        <w:sectPr>
          <w:pgSz w:w="11900" w:h="16838" w:orient="portrait"/>
          <w:cols w:equalWidth="0" w:num="1">
            <w:col w:w="11180"/>
          </w:cols>
          <w:pgMar w:left="240" w:top="460"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7.</w:t>
            </w:r>
          </w:p>
        </w:tc>
        <w:tc>
          <w:tcPr>
            <w:tcW w:w="8060" w:type="dxa"/>
            <w:vAlign w:val="bottom"/>
            <w:gridSpan w:val="2"/>
          </w:tcPr>
          <w:p>
            <w:pPr>
              <w:ind w:left="160"/>
              <w:spacing w:after="0"/>
              <w:rPr>
                <w:sz w:val="20"/>
                <w:szCs w:val="20"/>
                <w:color w:val="auto"/>
              </w:rPr>
            </w:pPr>
            <w:r>
              <w:rPr>
                <w:rFonts w:ascii="Arial" w:cs="Arial" w:eastAsia="Arial" w:hAnsi="Arial"/>
                <w:sz w:val="18"/>
                <w:szCs w:val="18"/>
                <w:b w:val="1"/>
                <w:bCs w:val="1"/>
                <w:color w:val="auto"/>
              </w:rPr>
              <w:t>Short-term borrowings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300" w:type="dxa"/>
            <w:vAlign w:val="bottom"/>
          </w:tcPr>
          <w:p>
            <w:pPr>
              <w:spacing w:after="0"/>
              <w:rPr>
                <w:sz w:val="24"/>
                <w:szCs w:val="24"/>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Short-term borrowings consist of the following:</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As of May 31,</w:t>
            </w:r>
          </w:p>
        </w:tc>
        <w:tc>
          <w:tcPr>
            <w:tcW w:w="640" w:type="dxa"/>
            <w:vAlign w:val="bottom"/>
          </w:tcPr>
          <w:p>
            <w:pPr>
              <w:spacing w:after="0"/>
              <w:rPr>
                <w:sz w:val="24"/>
                <w:szCs w:val="24"/>
                <w:color w:val="auto"/>
              </w:rPr>
            </w:pP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63"/>
        </w:trPr>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94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22"/>
                <w:szCs w:val="22"/>
                <w:color w:val="auto"/>
              </w:rPr>
            </w:pPr>
          </w:p>
        </w:tc>
        <w:tc>
          <w:tcPr>
            <w:tcW w:w="640" w:type="dxa"/>
            <w:vAlign w:val="bottom"/>
          </w:tcPr>
          <w:p>
            <w:pPr>
              <w:jc w:val="right"/>
              <w:ind w:right="120"/>
              <w:spacing w:after="0"/>
              <w:rPr>
                <w:sz w:val="20"/>
                <w:szCs w:val="20"/>
                <w:color w:val="auto"/>
              </w:rPr>
            </w:pPr>
            <w:r>
              <w:rPr>
                <w:rFonts w:ascii="Arial" w:cs="Arial" w:eastAsia="Arial" w:hAnsi="Arial"/>
                <w:sz w:val="14"/>
                <w:szCs w:val="14"/>
                <w:b w:val="1"/>
                <w:bCs w:val="1"/>
                <w:color w:val="auto"/>
              </w:rPr>
              <w:t>2006</w:t>
            </w: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50"/>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RMB</w:t>
            </w: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rPr>
              <w:t>RMB</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Unsecured short-term bank loans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08"/>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Borrowing from a non-related party, having an interest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tcPr>
          <w:p>
            <w:pPr>
              <w:ind w:left="220"/>
              <w:spacing w:after="0"/>
              <w:rPr>
                <w:sz w:val="20"/>
                <w:szCs w:val="20"/>
                <w:color w:val="auto"/>
              </w:rPr>
            </w:pPr>
            <w:r>
              <w:rPr>
                <w:rFonts w:ascii="Arial" w:cs="Arial" w:eastAsia="Arial" w:hAnsi="Arial"/>
                <w:sz w:val="18"/>
                <w:szCs w:val="18"/>
                <w:color w:val="auto"/>
              </w:rPr>
              <w:t>rate of 5.31%</w:t>
            </w:r>
          </w:p>
        </w:tc>
        <w:tc>
          <w:tcPr>
            <w:tcW w:w="620" w:type="dxa"/>
            <w:vAlign w:val="bottom"/>
          </w:tcPr>
          <w:p>
            <w:pPr>
              <w:jc w:val="right"/>
              <w:spacing w:after="0"/>
              <w:rPr>
                <w:sz w:val="20"/>
                <w:szCs w:val="20"/>
                <w:color w:val="auto"/>
              </w:rPr>
            </w:pPr>
            <w:r>
              <w:rPr>
                <w:rFonts w:ascii="Arial" w:cs="Arial" w:eastAsia="Arial" w:hAnsi="Arial"/>
                <w:sz w:val="18"/>
                <w:szCs w:val="18"/>
                <w:color w:val="auto"/>
              </w:rPr>
              <w:t>5,000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7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132"/>
        </w:trPr>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jc w:val="both"/>
        <w:ind w:left="460" w:right="100"/>
        <w:spacing w:after="0" w:line="370" w:lineRule="auto"/>
        <w:rPr>
          <w:sz w:val="20"/>
          <w:szCs w:val="20"/>
          <w:color w:val="auto"/>
        </w:rPr>
      </w:pPr>
      <w:r>
        <w:rPr>
          <w:rFonts w:ascii="Arial" w:cs="Arial" w:eastAsia="Arial" w:hAnsi="Arial"/>
          <w:sz w:val="15"/>
          <w:szCs w:val="15"/>
          <w:color w:val="auto"/>
        </w:rPr>
        <w:t>As of May 31, 2004, unsecured short-term bank loans consisted of four bank loans of RMB50,000, RMB15,000, RMB5,000 and RMB5,000, repayable on February 25, 2005, October 16, 2004, April 20, 2005 and May 10, 2004 and bear interest at 5.310%, 5.544%, 5.841% and 5.841% per annum respectively.</w:t>
      </w:r>
    </w:p>
    <w:p>
      <w:pPr>
        <w:spacing w:after="0" w:line="4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As of May 31, 2005, unsecured short-term bank loans consisted of four bank loans of RMB20,000, RMB30,000, RMB5,000 and RMB15,000, repayable on December 22, 2005, December 17, 2005, May 7, 2006 and September 18, 2005 and bear interest at 5.580%, 5.580%, 6.696% and 5.841% per annum respectively.</w:t>
      </w:r>
    </w:p>
    <w:p>
      <w:pPr>
        <w:spacing w:after="0" w:line="127"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As of May 31, 2006, unsecured short-term bank loans consist two bank loans of RMB20,000 and RMB15,000, repayable on March 30, 2007 and January 28, 2007, and each bears interest at 5.580% per annum. The loan of RMB20,000 has been guaranteed by New Oriental China.</w:t>
      </w:r>
    </w:p>
    <w:p>
      <w:pPr>
        <w:spacing w:after="0" w:line="72"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As of May 31, 2004, the borrowing from a non-related party was RMB5,000 and was repaid on September 4, 2004. As of May 31, 2005, the Group had a new borrowing from the same non-related party for RMB5,000 which was repaid on September 22, 2005.</w:t>
      </w:r>
    </w:p>
    <w:p>
      <w:pPr>
        <w:spacing w:after="0" w:line="118"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The above short-term borrowings incurred interest expense for the years ended May 31, 2004, 2005 and 2006 was RMB2,098, RMB4,374 and RMB2,765, respectively, of which RMB571, RMB872 and RMB206 was capitalized as addition to construction in-progress, respectively, for the years ended May 31, 2004, 2005 and 2006.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As of May 31,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1020" w:type="dxa"/>
            <w:vAlign w:val="bottom"/>
            <w:gridSpan w:val="3"/>
          </w:tcPr>
          <w:p>
            <w:pPr>
              <w:jc w:val="center"/>
              <w:ind w:left="195"/>
              <w:spacing w:after="0"/>
              <w:rPr>
                <w:sz w:val="20"/>
                <w:szCs w:val="20"/>
                <w:color w:val="auto"/>
              </w:rPr>
            </w:pPr>
            <w:r>
              <w:rPr>
                <w:rFonts w:ascii="Arial" w:cs="Arial" w:eastAsia="Arial" w:hAnsi="Arial"/>
                <w:sz w:val="14"/>
                <w:szCs w:val="14"/>
                <w:b w:val="1"/>
                <w:bCs w:val="1"/>
                <w:color w:val="auto"/>
                <w:w w:val="83"/>
              </w:rPr>
              <w:t>2005</w:t>
            </w:r>
          </w:p>
        </w:tc>
        <w:tc>
          <w:tcPr>
            <w:tcW w:w="300" w:type="dxa"/>
            <w:vAlign w:val="bottom"/>
          </w:tcPr>
          <w:p>
            <w:pPr>
              <w:spacing w:after="0"/>
              <w:rPr>
                <w:sz w:val="22"/>
                <w:szCs w:val="22"/>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RMB</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payable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Accrued payroll</w:t>
            </w:r>
          </w:p>
        </w:tc>
        <w:tc>
          <w:tcPr>
            <w:tcW w:w="620" w:type="dxa"/>
            <w:vAlign w:val="bottom"/>
          </w:tcPr>
          <w:p>
            <w:pPr>
              <w:jc w:val="right"/>
              <w:spacing w:after="0"/>
              <w:rPr>
                <w:sz w:val="20"/>
                <w:szCs w:val="20"/>
                <w:color w:val="auto"/>
              </w:rPr>
            </w:pPr>
            <w:r>
              <w:rPr>
                <w:rFonts w:ascii="Arial" w:cs="Arial" w:eastAsia="Arial" w:hAnsi="Arial"/>
                <w:sz w:val="18"/>
                <w:szCs w:val="18"/>
                <w:color w:val="auto"/>
              </w:rPr>
              <w:t>15,944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17,547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interests for short-term borrowings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Accrued interests for long-term debt</w:t>
            </w:r>
          </w:p>
        </w:tc>
        <w:tc>
          <w:tcPr>
            <w:tcW w:w="620" w:type="dxa"/>
            <w:vAlign w:val="bottom"/>
          </w:tcPr>
          <w:p>
            <w:pPr>
              <w:jc w:val="right"/>
              <w:spacing w:after="0"/>
              <w:rPr>
                <w:sz w:val="20"/>
                <w:szCs w:val="20"/>
                <w:color w:val="auto"/>
              </w:rPr>
            </w:pPr>
            <w:r>
              <w:rPr>
                <w:rFonts w:ascii="Arial" w:cs="Arial" w:eastAsia="Arial" w:hAnsi="Arial"/>
                <w:sz w:val="18"/>
                <w:szCs w:val="18"/>
                <w:color w:val="auto"/>
              </w:rPr>
              <w:t>616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acquiring equipment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63,384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Business tax payable</w:t>
            </w:r>
          </w:p>
        </w:tc>
        <w:tc>
          <w:tcPr>
            <w:tcW w:w="620" w:type="dxa"/>
            <w:vAlign w:val="bottom"/>
          </w:tcPr>
          <w:p>
            <w:pPr>
              <w:jc w:val="right"/>
              <w:spacing w:after="0"/>
              <w:rPr>
                <w:sz w:val="20"/>
                <w:szCs w:val="20"/>
                <w:color w:val="auto"/>
              </w:rPr>
            </w:pPr>
            <w:r>
              <w:rPr>
                <w:rFonts w:ascii="Arial" w:cs="Arial" w:eastAsia="Arial" w:hAnsi="Arial"/>
                <w:sz w:val="18"/>
                <w:szCs w:val="18"/>
                <w:color w:val="auto"/>
              </w:rPr>
              <w:t>2,217</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1,970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tax payable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Value added tax payable</w:t>
            </w:r>
          </w:p>
        </w:tc>
        <w:tc>
          <w:tcPr>
            <w:tcW w:w="620" w:type="dxa"/>
            <w:vAlign w:val="bottom"/>
          </w:tcPr>
          <w:p>
            <w:pPr>
              <w:jc w:val="right"/>
              <w:spacing w:after="0"/>
              <w:rPr>
                <w:sz w:val="20"/>
                <w:szCs w:val="20"/>
                <w:color w:val="auto"/>
              </w:rPr>
            </w:pPr>
            <w:r>
              <w:rPr>
                <w:rFonts w:ascii="Arial" w:cs="Arial" w:eastAsia="Arial" w:hAnsi="Arial"/>
                <w:sz w:val="18"/>
                <w:szCs w:val="18"/>
                <w:color w:val="auto"/>
              </w:rPr>
              <w:t>924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 payable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Welfare payable</w:t>
            </w:r>
          </w:p>
        </w:tc>
        <w:tc>
          <w:tcPr>
            <w:tcW w:w="620" w:type="dxa"/>
            <w:vAlign w:val="bottom"/>
          </w:tcPr>
          <w:p>
            <w:pPr>
              <w:jc w:val="right"/>
              <w:spacing w:after="0"/>
              <w:rPr>
                <w:sz w:val="20"/>
                <w:szCs w:val="20"/>
                <w:color w:val="auto"/>
              </w:rPr>
            </w:pPr>
            <w:r>
              <w:rPr>
                <w:rFonts w:ascii="Arial" w:cs="Arial" w:eastAsia="Arial" w:hAnsi="Arial"/>
                <w:sz w:val="18"/>
                <w:szCs w:val="18"/>
                <w:color w:val="auto"/>
              </w:rPr>
              <w:t>3,367</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8,051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Royalties fee payable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Advances from students</w:t>
            </w:r>
          </w:p>
        </w:tc>
        <w:tc>
          <w:tcPr>
            <w:tcW w:w="620" w:type="dxa"/>
            <w:vAlign w:val="bottom"/>
          </w:tcPr>
          <w:p>
            <w:pPr>
              <w:jc w:val="right"/>
              <w:spacing w:after="0"/>
              <w:rPr>
                <w:sz w:val="20"/>
                <w:szCs w:val="20"/>
                <w:color w:val="auto"/>
              </w:rPr>
            </w:pPr>
            <w:r>
              <w:rPr>
                <w:rFonts w:ascii="Arial" w:cs="Arial" w:eastAsia="Arial" w:hAnsi="Arial"/>
                <w:sz w:val="18"/>
                <w:szCs w:val="18"/>
                <w:color w:val="auto"/>
              </w:rPr>
              <w:t>1,595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2,901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 payable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Professional service fees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113,281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Dividend payable</w:t>
      </w:r>
    </w:p>
    <w:p>
      <w:pPr>
        <w:spacing w:after="0" w:line="163"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May 31, 2006, the Group declared dividends to its common shareholders in the amount of RMB65,498, of which RMB64,726 was paid before May 31, 2006 and RMB772 was remaining.</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consists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As of May 31,</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ind w:right="78"/>
              <w:spacing w:after="0"/>
              <w:rPr>
                <w:sz w:val="20"/>
                <w:szCs w:val="20"/>
                <w:color w:val="auto"/>
              </w:rPr>
            </w:pPr>
            <w:r>
              <w:rPr>
                <w:rFonts w:ascii="Arial" w:cs="Arial" w:eastAsia="Arial" w:hAnsi="Arial"/>
                <w:sz w:val="14"/>
                <w:szCs w:val="14"/>
                <w:b w:val="1"/>
                <w:bCs w:val="1"/>
                <w:color w:val="auto"/>
              </w:rPr>
              <w:t>2004</w:t>
            </w:r>
          </w:p>
        </w:tc>
        <w:tc>
          <w:tcPr>
            <w:tcW w:w="9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jc w:val="right"/>
              <w:ind w:right="58"/>
              <w:spacing w:after="0"/>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21"/>
                <w:szCs w:val="21"/>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RMB</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9"/>
              </w:rPr>
              <w:t>Secured long-term bank loans, bearing an average interest from 5.58% to 6.12%</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191,621</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Unsecured long-term bank loan, bearing an interest rate at 5.58%</w:t>
            </w: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(b)</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24,500</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216,121</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(36,436)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(47,603)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long-term debt</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179,685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900" w:hanging="446"/>
        <w:spacing w:after="0" w:line="332"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secured long-term bank loan is secured by a pledge of certain of the Group’s buildings and a land use right. The pledged buildings as of May 31, 2006 had a net book value of RMB270,345. The pledged land use right as of May 31, 2006 had a net book value of RMB25,456.</w:t>
      </w:r>
    </w:p>
    <w:p>
      <w:pPr>
        <w:spacing w:after="0" w:line="72"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As of May 31, 2004, the secured long-term loan consisted of one bank loan of RMB30,000, of which RMB10,000 was repayable in October 2005, RMB10,000 was repayable in April 2006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59" w:right="2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4"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RMB10,000 is repayable in October 2006. The interest expense incurred for the year ended May 31, 2004 was RMB1,561, of which RMB nil has been capitalized as an addition to construction-in-progress for the year ended May 31, 2004.</w:t>
      </w:r>
    </w:p>
    <w:p>
      <w:pPr>
        <w:spacing w:after="0" w:line="118" w:lineRule="exact"/>
        <w:rPr>
          <w:sz w:val="20"/>
          <w:szCs w:val="20"/>
          <w:color w:val="auto"/>
        </w:rPr>
      </w:pPr>
    </w:p>
    <w:p>
      <w:pPr>
        <w:ind w:left="920" w:right="300"/>
        <w:spacing w:after="0" w:line="255" w:lineRule="auto"/>
        <w:rPr>
          <w:sz w:val="20"/>
          <w:szCs w:val="20"/>
          <w:color w:val="auto"/>
        </w:rPr>
      </w:pPr>
      <w:r>
        <w:rPr>
          <w:rFonts w:ascii="Arial" w:cs="Arial" w:eastAsia="Arial" w:hAnsi="Arial"/>
          <w:sz w:val="18"/>
          <w:szCs w:val="18"/>
          <w:color w:val="auto"/>
        </w:rPr>
        <w:t>As of May 31, 2005, the secured long-term loans consisted of two bank loans of RMB30,000 and RMB161,621. Of the RMB30,000 loan, RMB10,000 was repayable in October 2005, RMB10,000 was repayable in April 2006 and RMB10,000 is repayable in October 2006. The RMB161,621 loan is repayable by installment over 120 months with a monthly repayment of RMB1,370 until March 2015. The interest expense incurred for the year ended May 31, 2005 was RMB3,380 of which RMB1,669 was capitalized as an addition to construction-in-progress, respectively, for the year ended May 31, 2005.</w:t>
      </w:r>
    </w:p>
    <w:p>
      <w:pPr>
        <w:spacing w:after="0" w:line="129"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As of May 31, 2006, the secured long term loans consisted of two bank loans of RMB10,000 and RMB115,741. The RMB10,000 loan is repayable in October 2006. The RMB115,741 loan is repayable by installment over 120 months with a monthly repayment of RMB1,092 until March 2015. The interest expense incurred for the year ended May 31, 2006 was RMB11,330, of which RMB4,052 was capitalized as an addition to construction-in-progress for the year ended May 31, 2006.</w:t>
      </w:r>
    </w:p>
    <w:p>
      <w:pPr>
        <w:spacing w:after="0" w:line="130" w:lineRule="exact"/>
        <w:rPr>
          <w:sz w:val="20"/>
          <w:szCs w:val="20"/>
          <w:color w:val="auto"/>
        </w:rPr>
      </w:pPr>
    </w:p>
    <w:p>
      <w:pPr>
        <w:jc w:val="both"/>
        <w:ind w:left="900" w:right="260" w:hanging="446"/>
        <w:spacing w:after="0" w:line="306"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unsecured long-term bank loan of 24,500 has been guaranteed by New Oriental China. The unsecured long term loan is repayable in October 2006. The interest expense incurred for the years ended May 31, 2004, 2005 and 2006 was RMB777, RMB1,376 and RMB1,504, respectively, of which RMB777, RMB251 and RMB nil was capitalized as an addition to construction-in-progress, respectively.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principal repayments on the long-term debt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Year ending May 31,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2007</w:t>
            </w:r>
          </w:p>
        </w:tc>
        <w:tc>
          <w:tcPr>
            <w:tcW w:w="660" w:type="dxa"/>
            <w:vAlign w:val="bottom"/>
          </w:tcPr>
          <w:p>
            <w:pPr>
              <w:jc w:val="right"/>
              <w:spacing w:after="0"/>
              <w:rPr>
                <w:sz w:val="20"/>
                <w:szCs w:val="20"/>
                <w:color w:val="auto"/>
              </w:rPr>
            </w:pPr>
            <w:r>
              <w:rPr>
                <w:rFonts w:ascii="Arial" w:cs="Arial" w:eastAsia="Arial" w:hAnsi="Arial"/>
                <w:sz w:val="18"/>
                <w:szCs w:val="18"/>
                <w:color w:val="auto"/>
              </w:rPr>
              <w:t>47,603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2009</w:t>
            </w:r>
          </w:p>
        </w:tc>
        <w:tc>
          <w:tcPr>
            <w:tcW w:w="660" w:type="dxa"/>
            <w:vAlign w:val="bottom"/>
          </w:tcPr>
          <w:p>
            <w:pPr>
              <w:jc w:val="right"/>
              <w:spacing w:after="0"/>
              <w:rPr>
                <w:sz w:val="20"/>
                <w:szCs w:val="20"/>
                <w:color w:val="auto"/>
              </w:rPr>
            </w:pPr>
            <w:r>
              <w:rPr>
                <w:rFonts w:ascii="Arial" w:cs="Arial" w:eastAsia="Arial" w:hAnsi="Arial"/>
                <w:sz w:val="18"/>
                <w:szCs w:val="18"/>
                <w:color w:val="auto"/>
              </w:rPr>
              <w:t>13,103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2011</w:t>
            </w:r>
          </w:p>
        </w:tc>
        <w:tc>
          <w:tcPr>
            <w:tcW w:w="660" w:type="dxa"/>
            <w:vAlign w:val="bottom"/>
          </w:tcPr>
          <w:p>
            <w:pPr>
              <w:jc w:val="right"/>
              <w:spacing w:after="0"/>
              <w:rPr>
                <w:sz w:val="20"/>
                <w:szCs w:val="20"/>
                <w:color w:val="auto"/>
              </w:rPr>
            </w:pPr>
            <w:r>
              <w:rPr>
                <w:rFonts w:ascii="Arial" w:cs="Arial" w:eastAsia="Arial" w:hAnsi="Arial"/>
                <w:sz w:val="18"/>
                <w:szCs w:val="18"/>
                <w:color w:val="auto"/>
              </w:rPr>
              <w:t>13,103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Less: current portion</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(47,603)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shares</w:t>
      </w:r>
    </w:p>
    <w:p>
      <w:pPr>
        <w:spacing w:after="0" w:line="163" w:lineRule="exact"/>
        <w:rPr>
          <w:rFonts w:ascii="Arial" w:cs="Arial" w:eastAsia="Arial" w:hAnsi="Arial"/>
          <w:sz w:val="18"/>
          <w:szCs w:val="18"/>
          <w:b w:val="1"/>
          <w:bCs w:val="1"/>
          <w:color w:val="auto"/>
        </w:rPr>
      </w:pPr>
    </w:p>
    <w:p>
      <w:pPr>
        <w:ind w:left="460" w:right="8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December 24, 2004, the Company issued 11,111,111 Series A convertible preferred shares for US$2.025 per share for total cash proceeds of US$22,102, net of issuance costs of US$398.</w:t>
      </w:r>
    </w:p>
    <w:p>
      <w:pPr>
        <w:spacing w:after="0" w:line="118" w:lineRule="exact"/>
        <w:rPr>
          <w:rFonts w:ascii="Arial" w:cs="Arial" w:eastAsia="Arial" w:hAnsi="Arial"/>
          <w:sz w:val="18"/>
          <w:szCs w:val="18"/>
          <w:b w:val="1"/>
          <w:bCs w:val="1"/>
          <w:color w:val="auto"/>
        </w:rPr>
      </w:pPr>
    </w:p>
    <w:p>
      <w:pPr>
        <w:ind w:left="46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Group has determined that there was no embedded beneficial conversion feature attributable to the Series A convertible preferred shares, since the initial conversion price of Series A convertible preferred shares is equal to the issuance price, which was negotiated and agreed between the Group and the external investor on an arm’s length basis and, which was determined by management to approximated the fair value of the Group’s common shares at the commitment date since there was no existence of a public or active market of the Group’s common shares, nor were there any cash transactions involving the Group’s common shares that occurred prior to this date.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shares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rights, preferences, privileges and restrictions granted to and imposed on the Series A convertible preferred shares are as set forth below.</w:t>
      </w:r>
    </w:p>
    <w:p>
      <w:pPr>
        <w:spacing w:after="0" w:line="1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 provisions</w:t>
      </w:r>
    </w:p>
    <w:p>
      <w:pPr>
        <w:spacing w:after="0" w:line="157"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Any dividends or distributions shall be distributed among all holders of common shares and Series A preferred shares in proportion to the number of common shares that would be held by each such holder if all Series A convertible preferred shares were converted to common shares at the then effective conversion rate.</w:t>
      </w:r>
    </w:p>
    <w:p>
      <w:pPr>
        <w:spacing w:after="0" w:line="126"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Notwithstanding the foregoing, the Company may declare and pay any time prior to March 31, 2005 a dividend payable to the holders of common shares in an amount not to exceed RMB40,000,000, in which the holders of Series A convertible preferred shares shall not participate.</w:t>
      </w:r>
    </w:p>
    <w:p>
      <w:pPr>
        <w:spacing w:after="0" w:line="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Liquidation preference</w:t>
      </w:r>
    </w:p>
    <w:p>
      <w:pPr>
        <w:spacing w:after="0" w:line="157" w:lineRule="exact"/>
        <w:rPr>
          <w:rFonts w:ascii="Arial" w:cs="Arial" w:eastAsia="Arial" w:hAnsi="Arial"/>
          <w:sz w:val="18"/>
          <w:szCs w:val="18"/>
          <w:b w:val="1"/>
          <w:bCs w:val="1"/>
          <w:color w:val="auto"/>
        </w:rPr>
      </w:pPr>
    </w:p>
    <w:p>
      <w:pPr>
        <w:ind w:left="46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the event of any liquidation event, either voluntary or involuntary, the holders of Series A convertible preferred shares shall be entitled to receive, prior and in preference to any distribution of the proceeds of such liquidation event to the holders of common shares by reason of their ownership thereof, an amount per share equal to the sum of the applicable Original Issue Price which is US$2.025 per share for such Series A convertible preferred shares, plus declared but unpaid dividends on such share.</w:t>
      </w:r>
    </w:p>
    <w:p>
      <w:pPr>
        <w:spacing w:after="0" w:line="1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Conversion</w:t>
      </w:r>
    </w:p>
    <w:p>
      <w:pPr>
        <w:spacing w:after="0" w:line="157"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Each Series A preferred share shall be convertible, at the option of the holder thereof, at any time after the date of issuance of such share at the office of the Company or any transfer agent for such shares, into such number of fully paid and nonassessable common shares as is determined by dividing the applicable Original Issue Price for such series by the applicable Conversion Price for such series, in effect on the date the certificate is surrendered for conversion. The initial Conversion Price per share for each series of Series A preferred shares shall be the Original Issue Price applicable to such series.</w:t>
      </w:r>
    </w:p>
    <w:p>
      <w:pPr>
        <w:spacing w:after="0" w:line="9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Each holder of Series A preferred shares shall have the right to one vote for each common share into which such Series A preferred shares could then be converted, and with respect to such vote, such holder shall have full voting rights and powers equal to the voting rights and powers of the holders of common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Equity instrument</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information regarding restricted shares and share options:</w:t>
      </w:r>
    </w:p>
    <w:p>
      <w:pPr>
        <w:spacing w:after="0" w:line="14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restricted</w:t>
            </w:r>
          </w:p>
        </w:tc>
        <w:tc>
          <w:tcPr>
            <w:tcW w:w="70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Fair value of</w:t>
            </w:r>
          </w:p>
        </w:tc>
        <w:tc>
          <w:tcPr>
            <w:tcW w:w="82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83"/>
              </w:rPr>
              <w:t>Exercise</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4260" w:type="dxa"/>
            <w:vAlign w:val="bottom"/>
            <w:gridSpan w:val="2"/>
          </w:tcPr>
          <w:p>
            <w:pPr>
              <w:ind w:left="1800"/>
              <w:spacing w:after="0"/>
              <w:rPr>
                <w:sz w:val="20"/>
                <w:szCs w:val="20"/>
                <w:color w:val="auto"/>
              </w:rPr>
            </w:pPr>
            <w:r>
              <w:rPr>
                <w:rFonts w:ascii="Arial" w:cs="Arial" w:eastAsia="Arial" w:hAnsi="Arial"/>
                <w:sz w:val="14"/>
                <w:szCs w:val="14"/>
                <w:b w:val="1"/>
                <w:bCs w:val="1"/>
                <w:color w:val="auto"/>
              </w:rPr>
              <w:t>Grant Date</w:t>
            </w:r>
          </w:p>
        </w:tc>
        <w:tc>
          <w:tcPr>
            <w:tcW w:w="700" w:type="dxa"/>
            <w:vAlign w:val="bottom"/>
          </w:tcPr>
          <w:p>
            <w:pPr>
              <w:spacing w:after="0"/>
              <w:rPr>
                <w:sz w:val="15"/>
                <w:szCs w:val="15"/>
                <w:color w:val="auto"/>
              </w:rPr>
            </w:pPr>
          </w:p>
        </w:tc>
        <w:tc>
          <w:tcPr>
            <w:tcW w:w="1220" w:type="dxa"/>
            <w:vAlign w:val="bottom"/>
          </w:tcPr>
          <w:p>
            <w:pPr>
              <w:jc w:val="right"/>
              <w:ind w:right="172"/>
              <w:spacing w:after="0"/>
              <w:rPr>
                <w:sz w:val="20"/>
                <w:szCs w:val="20"/>
                <w:color w:val="auto"/>
              </w:rPr>
            </w:pPr>
            <w:r>
              <w:rPr>
                <w:rFonts w:ascii="Arial" w:cs="Arial" w:eastAsia="Arial" w:hAnsi="Arial"/>
                <w:sz w:val="14"/>
                <w:szCs w:val="14"/>
                <w:b w:val="1"/>
                <w:bCs w:val="1"/>
                <w:color w:val="auto"/>
              </w:rPr>
              <w:t>shares issued</w:t>
            </w:r>
          </w:p>
        </w:tc>
        <w:tc>
          <w:tcPr>
            <w:tcW w:w="208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83"/>
              </w:rPr>
              <w:t>common shares</w:t>
            </w:r>
          </w:p>
        </w:tc>
        <w:tc>
          <w:tcPr>
            <w:tcW w:w="3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price</w:t>
            </w:r>
          </w:p>
        </w:tc>
        <w:tc>
          <w:tcPr>
            <w:tcW w:w="7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RMB</w:t>
            </w:r>
          </w:p>
        </w:tc>
        <w:tc>
          <w:tcPr>
            <w:tcW w:w="32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700" w:type="dxa"/>
            <w:vAlign w:val="bottom"/>
          </w:tcPr>
          <w:p>
            <w:pPr>
              <w:spacing w:after="0"/>
              <w:rPr>
                <w:sz w:val="21"/>
                <w:szCs w:val="21"/>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January 1, 2003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1,450,000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6.22*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2003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November 1, 2003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790,000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6.80*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2004</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1,137,500</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April 1, 2004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550,000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8.78*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2005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1,955,100</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August 1, 2005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110,000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14.59*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26, 2006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2,507,400</w:t>
            </w:r>
          </w:p>
        </w:tc>
        <w:tc>
          <w:tcPr>
            <w:tcW w:w="2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options:</w:t>
            </w: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February 28, 2006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7,099,500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15.96*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16.20</w:t>
            </w: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21, 2006 (unaudited)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1,620,000</w:t>
            </w:r>
          </w:p>
        </w:tc>
        <w:tc>
          <w:tcPr>
            <w:tcW w:w="2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8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-610235</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-610235</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34"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fair value was determined based on a retrospective valuation by an independent appraiser.</w:t>
      </w:r>
    </w:p>
    <w:p>
      <w:pPr>
        <w:spacing w:after="0" w:line="15"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fair value was determined based on a contemporaneous valuation by an independent appraiser.</w:t>
      </w:r>
    </w:p>
    <w:p>
      <w:pPr>
        <w:spacing w:after="0" w:line="151"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The derived fair value of the common shares underlying the options and restricted shares was determined based on a retrospective third-party valuation conducted by American Appraisal using generally accepted valuation methodologies, including the discounted cash flow method, a method within the income approach whereby the present value of future expected net cash flows is calculated using a discount rate and the guideline companies approach, which incorporates certain assumptions including the market performance of comparable listed companies as well as the financial results and growth trends of the Group, to derive the total equity value of the Group. The valuation model allocated the equity value between the common shares and the preferred shares and determined the fair value of common shares based on the option-pricing method under the enterprise value allocation method. Under this method, the common shares have value only if the funds available for distribution to shareholders exceed the value of the liquidation preference at the time of a liquidity event (for example, merger or sale). The common shares are considered to be a call option with claim on the enterprise at an exercise price equal to the remaining value immediately after the preferred shares are liquidated.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58" w:lineRule="exact"/>
        <w:rPr>
          <w:sz w:val="20"/>
          <w:szCs w:val="20"/>
          <w:color w:val="auto"/>
        </w:rPr>
      </w:pPr>
    </w:p>
    <w:p>
      <w:pPr>
        <w:ind w:left="460" w:right="160"/>
        <w:spacing w:after="0" w:line="290" w:lineRule="auto"/>
        <w:rPr>
          <w:sz w:val="20"/>
          <w:szCs w:val="20"/>
          <w:color w:val="auto"/>
        </w:rPr>
      </w:pPr>
      <w:r>
        <w:rPr>
          <w:rFonts w:ascii="Arial" w:cs="Arial" w:eastAsia="Arial" w:hAnsi="Arial"/>
          <w:sz w:val="16"/>
          <w:szCs w:val="16"/>
          <w:color w:val="auto"/>
        </w:rPr>
        <w:t>In 2002, the Group appointed Beijing Beizhi Culture and Education Co., Ltd., or Beijing Beizhi, a PRC company, as a nominee shareholder of 9,000,000 authorized common shares on the Group’s behalf. In 2004, the Group released 1,324,778 common shares from the restricted share pool to the unrestricted share pool. As of May 31, 2004, 2005 and 2006 there are 9,000,000, 7,675,222 and 7,675,222 restricted shares outstanding. These shares are subject to transfer restrictions and do not have any voting rights. Immediately upon the completion of the Group’s initial public offering, the restrictions on these restricted shares will automatically terminate. During 2004, 2005 and 2006, New Oriental China through Beying Beizhi issued 2,477,500, nil and 4,572,500 fully vested restricted shares to certain employees, directors, consultants and other individuals, respectively. Accordingly, the Group recorded compensation expense of RMB16,817, nil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Equity instrument (continued)</w:t>
      </w:r>
    </w:p>
    <w:p>
      <w:pPr>
        <w:spacing w:after="0" w:line="163" w:lineRule="exact"/>
        <w:rPr>
          <w:rFonts w:ascii="Arial" w:cs="Arial" w:eastAsia="Arial" w:hAnsi="Arial"/>
          <w:sz w:val="18"/>
          <w:szCs w:val="18"/>
          <w:b w:val="1"/>
          <w:bCs w:val="1"/>
          <w:color w:val="auto"/>
        </w:rPr>
      </w:pPr>
    </w:p>
    <w:p>
      <w:pPr>
        <w:ind w:left="4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and 58,333 respectively in 2004, 2005 and 2006 which represents the difference between the fair value of the common shares and their exercise price on the grant date.</w:t>
      </w:r>
    </w:p>
    <w:p>
      <w:pPr>
        <w:spacing w:after="0" w:line="1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2006 Share Option Incentive Plan</w:t>
      </w:r>
    </w:p>
    <w:p>
      <w:pPr>
        <w:spacing w:after="0" w:line="157" w:lineRule="exact"/>
        <w:rPr>
          <w:rFonts w:ascii="Arial" w:cs="Arial" w:eastAsia="Arial" w:hAnsi="Arial"/>
          <w:sz w:val="18"/>
          <w:szCs w:val="18"/>
          <w:b w:val="1"/>
          <w:bCs w:val="1"/>
          <w:color w:val="auto"/>
        </w:rPr>
      </w:pPr>
    </w:p>
    <w:p>
      <w:pPr>
        <w:ind w:left="460" w:right="100"/>
        <w:spacing w:after="0" w:line="310" w:lineRule="auto"/>
        <w:rPr>
          <w:rFonts w:ascii="Arial" w:cs="Arial" w:eastAsia="Arial" w:hAnsi="Arial"/>
          <w:sz w:val="18"/>
          <w:szCs w:val="18"/>
          <w:b w:val="1"/>
          <w:bCs w:val="1"/>
          <w:color w:val="auto"/>
        </w:rPr>
      </w:pPr>
      <w:r>
        <w:rPr>
          <w:rFonts w:ascii="Arial" w:cs="Arial" w:eastAsia="Arial" w:hAnsi="Arial"/>
          <w:sz w:val="15"/>
          <w:szCs w:val="15"/>
          <w:color w:val="auto"/>
        </w:rPr>
        <w:t>On January 20, 2006, the Group adopted 2006 Share Incentive Plan or the Plan, under which the Group may grant options to purchase up to 8,000,000 common shares of the Group, to its employees, directors and consultants, plus (i) an increase of 5,000,000 shares to be added on January 1, 2007, (ii) an increase of 5,000,000 shares to be added on January 1, 2008 and (iii) an annual increase to be added on the first business day of each calendar year beginning in 2009 equal to the lesser of (x) 3,000,000 shares, (y) two percent (2%) of the number of shares outstanding as of such date, or (z) a lesser number of shares determined by the management. In the event that the aggregate number of shares which may be issued pursuant to all the awards granted by us in any given year has reached the maximum amount allowed in such year, the management may, during such year, grant additional awards to entitle the recipients thereto to acquire up to 2,000,000 shares, or the extra shares, provided that the maximum aggregate number of shares which may be issued pursuant to all awards for the following year will be reduced by the number of the extra shares underlying the awards granted in the previous year.</w:t>
      </w:r>
    </w:p>
    <w:p>
      <w:pPr>
        <w:spacing w:after="0" w:line="94" w:lineRule="exact"/>
        <w:rPr>
          <w:rFonts w:ascii="Arial" w:cs="Arial" w:eastAsia="Arial" w:hAnsi="Arial"/>
          <w:sz w:val="18"/>
          <w:szCs w:val="18"/>
          <w:b w:val="1"/>
          <w:bCs w:val="1"/>
          <w:color w:val="auto"/>
        </w:rPr>
      </w:pPr>
    </w:p>
    <w:p>
      <w:pPr>
        <w:ind w:left="460" w:firstLine="4"/>
        <w:spacing w:after="0" w:line="259" w:lineRule="auto"/>
        <w:tabs>
          <w:tab w:leader="none" w:pos="74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granted to an employee who, at the time of the grant of such Incentive Share Option owns shares representing more than 10% of the voting power of all classes of shares of the Company or any parent or subsidiary of the Company, the per share exercise price shall be not less than 110% of the fair market value per share on the date of grant; or</w:t>
      </w:r>
    </w:p>
    <w:p>
      <w:pPr>
        <w:spacing w:after="0" w:line="126" w:lineRule="exact"/>
        <w:rPr>
          <w:rFonts w:ascii="Arial" w:cs="Arial" w:eastAsia="Arial" w:hAnsi="Arial"/>
          <w:sz w:val="18"/>
          <w:szCs w:val="18"/>
          <w:color w:val="auto"/>
        </w:rPr>
      </w:pPr>
    </w:p>
    <w:p>
      <w:pPr>
        <w:ind w:left="460" w:right="220" w:firstLine="4"/>
        <w:spacing w:after="0" w:line="268" w:lineRule="auto"/>
        <w:tabs>
          <w:tab w:leader="none" w:pos="73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the preceding paragraph, the per share exercise price shall be not less than 100% of the fair market value per share on the date of grant.</w:t>
      </w:r>
    </w:p>
    <w:p>
      <w:pPr>
        <w:spacing w:after="0" w:line="118" w:lineRule="exact"/>
        <w:rPr>
          <w:rFonts w:ascii="Arial" w:cs="Arial" w:eastAsia="Arial" w:hAnsi="Arial"/>
          <w:sz w:val="18"/>
          <w:szCs w:val="18"/>
          <w:color w:val="auto"/>
        </w:rPr>
      </w:pPr>
    </w:p>
    <w:p>
      <w:pPr>
        <w:ind w:left="460" w:right="280" w:firstLine="4"/>
        <w:spacing w:after="0" w:line="268" w:lineRule="auto"/>
        <w:tabs>
          <w:tab w:leader="none" w:pos="73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the case of a non-qualified share option, the per share exercise price shall be not less than 100% of the Fair Market Value per Share on the date of grant unless otherwise determined by the management.</w:t>
      </w:r>
    </w:p>
    <w:p>
      <w:pPr>
        <w:spacing w:after="0" w:line="118" w:lineRule="exact"/>
        <w:rPr>
          <w:sz w:val="20"/>
          <w:szCs w:val="20"/>
          <w:color w:val="auto"/>
        </w:rPr>
      </w:pPr>
    </w:p>
    <w:p>
      <w:pPr>
        <w:ind w:left="460" w:right="60"/>
        <w:spacing w:after="0" w:line="235" w:lineRule="auto"/>
        <w:rPr>
          <w:sz w:val="20"/>
          <w:szCs w:val="20"/>
          <w:color w:val="auto"/>
        </w:rPr>
      </w:pPr>
      <w:r>
        <w:rPr>
          <w:rFonts w:ascii="Arial" w:cs="Arial" w:eastAsia="Arial" w:hAnsi="Arial"/>
          <w:sz w:val="18"/>
          <w:szCs w:val="18"/>
          <w:color w:val="auto"/>
        </w:rPr>
        <w:t xml:space="preserve">The term of an option shall be no more than 10 years from the date of grant thereof and generally vest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6</w:t>
      </w:r>
      <w:r>
        <w:rPr>
          <w:rFonts w:ascii="Arial" w:cs="Arial" w:eastAsia="Arial" w:hAnsi="Arial"/>
          <w:sz w:val="18"/>
          <w:szCs w:val="18"/>
          <w:color w:val="auto"/>
        </w:rPr>
        <w:t>th on each six month anniversary of the vesting commencement date for a period of 3 years. As of May 31, 2006, options to purchase 7,099,500 shares of common shares were outstanding, and options to purchase 900,500 common shares were available for future grant.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share option activity under 2006 Share Incentive Plan is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4"/>
                <w:szCs w:val="14"/>
                <w:b w:val="1"/>
                <w:bCs w:val="1"/>
                <w:color w:val="auto"/>
                <w:w w:val="96"/>
              </w:rPr>
              <w:t>of option</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exercise price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ind w:right="61"/>
              <w:spacing w:after="0"/>
              <w:rPr>
                <w:sz w:val="20"/>
                <w:szCs w:val="20"/>
                <w:color w:val="auto"/>
              </w:rPr>
            </w:pPr>
            <w:r>
              <w:rPr>
                <w:rFonts w:ascii="Arial" w:cs="Arial" w:eastAsia="Arial" w:hAnsi="Arial"/>
                <w:sz w:val="14"/>
                <w:szCs w:val="14"/>
                <w:b w:val="1"/>
                <w:bCs w:val="1"/>
                <w:color w:val="auto"/>
              </w:rPr>
              <w:t>RMB</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June 1, 2005</w:t>
            </w:r>
          </w:p>
        </w:tc>
        <w:tc>
          <w:tcPr>
            <w:tcW w:w="3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Granted</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7,099,500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16.20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Cancelled</w:t>
            </w:r>
          </w:p>
        </w:tc>
        <w:tc>
          <w:tcPr>
            <w:tcW w:w="3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May 31, 2006</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7,099,500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80" w:type="dxa"/>
            <w:vAlign w:val="bottom"/>
            <w:gridSpan w:val="2"/>
          </w:tcPr>
          <w:p>
            <w:pPr>
              <w:jc w:val="right"/>
              <w:ind w:right="2600"/>
              <w:spacing w:after="0"/>
              <w:rPr>
                <w:sz w:val="20"/>
                <w:szCs w:val="20"/>
                <w:color w:val="auto"/>
              </w:rPr>
            </w:pPr>
            <w:r>
              <w:rPr>
                <w:rFonts w:ascii="Arial" w:cs="Arial" w:eastAsia="Arial" w:hAnsi="Arial"/>
                <w:sz w:val="18"/>
                <w:szCs w:val="18"/>
                <w:color w:val="auto"/>
              </w:rPr>
              <w:t>F-25</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-325755</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-325755</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-325755</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-325755</wp:posOffset>
            </wp:positionV>
            <wp:extent cx="2159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Equity instrument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per share fair value of options as of February 28, 2006, the grant date was as follows:</w:t>
      </w:r>
    </w:p>
    <w:p>
      <w:pPr>
        <w:spacing w:after="0" w:line="158" w:lineRule="exact"/>
        <w:rPr>
          <w:sz w:val="20"/>
          <w:szCs w:val="20"/>
          <w:color w:val="auto"/>
        </w:rPr>
      </w:pPr>
    </w:p>
    <w:p>
      <w:pPr>
        <w:ind w:left="580"/>
        <w:spacing w:after="0"/>
        <w:tabs>
          <w:tab w:leader="none" w:pos="9340" w:val="left"/>
        </w:tabs>
        <w:rPr>
          <w:sz w:val="20"/>
          <w:szCs w:val="20"/>
          <w:color w:val="auto"/>
        </w:rPr>
      </w:pPr>
      <w:r>
        <w:rPr>
          <w:rFonts w:ascii="Arial" w:cs="Arial" w:eastAsia="Arial" w:hAnsi="Arial"/>
          <w:sz w:val="18"/>
          <w:szCs w:val="18"/>
          <w:color w:val="auto"/>
        </w:rPr>
        <w:t>Common shares</w:t>
      </w:r>
      <w:r>
        <w:rPr>
          <w:sz w:val="20"/>
          <w:szCs w:val="20"/>
          <w:color w:val="auto"/>
        </w:rPr>
        <w:tab/>
      </w:r>
      <w:r>
        <w:rPr>
          <w:rFonts w:ascii="Arial" w:cs="Arial" w:eastAsia="Arial" w:hAnsi="Arial"/>
          <w:sz w:val="16"/>
          <w:szCs w:val="16"/>
          <w:color w:val="auto"/>
        </w:rPr>
        <w:t>RMB8.02 (US$1.00)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-125730</wp:posOffset>
            </wp:positionV>
            <wp:extent cx="6517640" cy="1371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77470</wp:posOffset>
            </wp:positionV>
            <wp:extent cx="131635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16355" cy="29845"/>
                    </a:xfrm>
                    <a:prstGeom prst="rect">
                      <a:avLst/>
                    </a:prstGeom>
                    <a:noFill/>
                  </pic:spPr>
                </pic:pic>
              </a:graphicData>
            </a:graphic>
          </wp:anchor>
        </w:drawing>
      </w:r>
    </w:p>
    <w:p>
      <w:pPr>
        <w:spacing w:after="0" w:line="3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with respect to share options outstanding at May 31, 2006:</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w w:val="97"/>
              </w:rPr>
              <w:t>Options outstanding</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Options exercisable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95"/>
        </w:trPr>
        <w:tc>
          <w:tcPr>
            <w:tcW w:w="2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37"/>
        </w:trPr>
        <w:tc>
          <w:tcPr>
            <w:tcW w:w="2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2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3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74"/>
        </w:trPr>
        <w:tc>
          <w:tcPr>
            <w:tcW w:w="280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contractual life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1"/>
              </w:rPr>
              <w:t>exercisable</w:t>
            </w:r>
          </w:p>
        </w:tc>
        <w:tc>
          <w:tcPr>
            <w:tcW w:w="200" w:type="dxa"/>
            <w:vAlign w:val="bottom"/>
          </w:tcPr>
          <w:p>
            <w:pPr>
              <w:spacing w:after="0"/>
              <w:rPr>
                <w:sz w:val="15"/>
                <w:szCs w:val="15"/>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3"/>
              </w:rPr>
              <w:t>exercise price</w:t>
            </w: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value</w:t>
            </w:r>
          </w:p>
        </w:tc>
      </w:tr>
      <w:tr>
        <w:trPr>
          <w:trHeight w:val="95"/>
        </w:trPr>
        <w:tc>
          <w:tcPr>
            <w:tcW w:w="2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50"/>
        </w:trPr>
        <w:tc>
          <w:tcPr>
            <w:tcW w:w="2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21"/>
                <w:szCs w:val="21"/>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US$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7"/>
              </w:rPr>
              <w:t>RMB</w:t>
            </w:r>
          </w:p>
        </w:tc>
        <w:tc>
          <w:tcPr>
            <w:tcW w:w="2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w w:val="87"/>
              </w:rPr>
              <w:t>US$</w:t>
            </w: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shares:</w:t>
            </w: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72"/>
        </w:trPr>
        <w:tc>
          <w:tcPr>
            <w:tcW w:w="2800" w:type="dxa"/>
            <w:vAlign w:val="bottom"/>
          </w:tcPr>
          <w:p>
            <w:pPr>
              <w:spacing w:after="0"/>
              <w:rPr>
                <w:sz w:val="20"/>
                <w:szCs w:val="20"/>
                <w:color w:val="auto"/>
              </w:rPr>
            </w:pPr>
            <w:r>
              <w:rPr>
                <w:rFonts w:ascii="Arial" w:cs="Arial" w:eastAsia="Arial" w:hAnsi="Arial"/>
                <w:sz w:val="14"/>
                <w:szCs w:val="14"/>
                <w:color w:val="auto"/>
              </w:rPr>
              <w:t>RMB8.02 (equivalent to US$1.00)</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7,099,500</w:t>
            </w:r>
          </w:p>
        </w:tc>
        <w:tc>
          <w:tcPr>
            <w:tcW w:w="200" w:type="dxa"/>
            <w:vAlign w:val="bottom"/>
          </w:tcPr>
          <w:p>
            <w:pPr>
              <w:spacing w:after="0"/>
              <w:rPr>
                <w:sz w:val="14"/>
                <w:szCs w:val="14"/>
                <w:color w:val="auto"/>
              </w:rPr>
            </w:pPr>
          </w:p>
        </w:tc>
        <w:tc>
          <w:tcPr>
            <w:tcW w:w="1040" w:type="dxa"/>
            <w:vAlign w:val="bottom"/>
          </w:tcPr>
          <w:p>
            <w:pPr>
              <w:ind w:left="580"/>
              <w:spacing w:after="0"/>
              <w:rPr>
                <w:sz w:val="20"/>
                <w:szCs w:val="20"/>
                <w:color w:val="auto"/>
              </w:rPr>
            </w:pPr>
            <w:r>
              <w:rPr>
                <w:rFonts w:ascii="Arial" w:cs="Arial" w:eastAsia="Arial" w:hAnsi="Arial"/>
                <w:sz w:val="14"/>
                <w:szCs w:val="14"/>
                <w:color w:val="auto"/>
                <w:w w:val="81"/>
              </w:rPr>
              <w:t>10 years</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16.20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2.02</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16.20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2.02</w:t>
            </w: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r>
      <w:tr>
        <w:trPr>
          <w:trHeight w:val="108"/>
        </w:trPr>
        <w:tc>
          <w:tcPr>
            <w:tcW w:w="2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-29210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right="440"/>
        <w:spacing w:after="0" w:line="420" w:lineRule="auto"/>
        <w:rPr>
          <w:sz w:val="20"/>
          <w:szCs w:val="20"/>
          <w:color w:val="auto"/>
        </w:rPr>
      </w:pPr>
      <w:r>
        <w:rPr>
          <w:rFonts w:ascii="Arial" w:cs="Arial" w:eastAsia="Arial" w:hAnsi="Arial"/>
          <w:sz w:val="18"/>
          <w:szCs w:val="18"/>
          <w:color w:val="auto"/>
        </w:rPr>
        <w:t xml:space="preserve">The fair value of each option granted is estimated on the date of grant using the Black-Scholes option pricing model with the following assumptions. </w:t>
      </w:r>
      <w:r>
        <w:rPr>
          <w:rFonts w:ascii="Arial" w:cs="Arial" w:eastAsia="Arial" w:hAnsi="Arial"/>
          <w:sz w:val="18"/>
          <w:szCs w:val="18"/>
          <w:b w:val="1"/>
          <w:bCs w:val="1"/>
          <w:i w:val="1"/>
          <w:iCs w:val="1"/>
          <w:color w:val="auto"/>
        </w:rPr>
        <w:t>Option grants</w:t>
      </w: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May 31,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rate of return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2.45 - 2.56%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Weighted average expected option life</w:t>
            </w:r>
          </w:p>
        </w:tc>
        <w:tc>
          <w:tcPr>
            <w:tcW w:w="1360" w:type="dxa"/>
            <w:vAlign w:val="bottom"/>
          </w:tcPr>
          <w:p>
            <w:pPr>
              <w:jc w:val="right"/>
              <w:spacing w:after="0"/>
              <w:rPr>
                <w:sz w:val="20"/>
                <w:szCs w:val="20"/>
                <w:color w:val="auto"/>
              </w:rPr>
            </w:pPr>
            <w:r>
              <w:rPr>
                <w:rFonts w:ascii="Arial" w:cs="Arial" w:eastAsia="Arial" w:hAnsi="Arial"/>
                <w:sz w:val="18"/>
                <w:szCs w:val="18"/>
                <w:color w:val="auto"/>
              </w:rPr>
              <w:t>5.875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Volatility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50.17 - 53.93%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Dividend yield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300"/>
        <w:spacing w:after="0" w:line="332" w:lineRule="auto"/>
        <w:rPr>
          <w:sz w:val="20"/>
          <w:szCs w:val="20"/>
          <w:color w:val="auto"/>
        </w:rPr>
      </w:pPr>
      <w:r>
        <w:rPr>
          <w:rFonts w:ascii="Arial" w:cs="Arial" w:eastAsia="Arial" w:hAnsi="Arial"/>
          <w:sz w:val="16"/>
          <w:szCs w:val="16"/>
          <w:color w:val="auto"/>
        </w:rPr>
        <w:t>As of May 31, 2006, there was RMB51,838 of total unrecognized compensation expense related to non-vested share-based compensation arrangement under the 2006 Share Incentive Plan. That cost is expected to be recognized over a weighted-average period of 2.58 years.</w:t>
      </w:r>
    </w:p>
    <w:p>
      <w:pPr>
        <w:spacing w:after="0" w:line="66"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3"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for income taxes on earnings from continuing operations for the years ended May 31, 2004, 2005 and 2006, are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7"/>
              </w:rPr>
              <w:t>Year ended May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2"/>
                <w:szCs w:val="22"/>
                <w:color w:val="auto"/>
              </w:rPr>
            </w:pPr>
          </w:p>
        </w:tc>
        <w:tc>
          <w:tcPr>
            <w:tcW w:w="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PRC</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3,622</w:t>
            </w: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7,772</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PRC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(1,928)</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2,637</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3873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3873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Company is incorporated in the Cayman Islands. Under the current law of the Cayman Islands, the Company is not subject to income or capital gains tax. In addition, dividend payments are not subject to withholding tax in the Cayman Islands.</w:t>
      </w:r>
    </w:p>
    <w:p>
      <w:pPr>
        <w:spacing w:after="0" w:line="118"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The subsidiaries of New Oriental China, which are registered as private schools (the “school-subsidiaries”), are subject to income tax in according to The Law for Promoting Private Education (2003), pursuant to which, the school-subsidiaries that is registered as private schools not requiring reasonable returns are treated as public schools, thereby generally not being subject to any enterprise income tax, while the preferential tax treatment policies applicable to the school-subsidiaries registered as requiring reasonable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59" w:right="3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63"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returns shall be separately formulated by the relevant authorities under the State Council. To date, however, no separate regulations or policies have been promulgated by the relevant authorities in this regard. As a result, preferential tax treatments for school-subsidiaries vary across different cities. In some cities, schools are subject to a 33% standard enterprise income tax, while in other cities, our schools are subject to a 2% to 3.5% tax on gross receipts in lieu of the 33% standard enterprise income tax or exempted from the enterprise income tax. The subsidiaries of New Oriental China other than its school-subsidiaries are subjected the 33% standard enterprise income tax.</w:t>
      </w:r>
    </w:p>
    <w:p>
      <w:pPr>
        <w:spacing w:after="0" w:line="102" w:lineRule="exact"/>
        <w:rPr>
          <w:rFonts w:ascii="Arial" w:cs="Arial" w:eastAsia="Arial" w:hAnsi="Arial"/>
          <w:sz w:val="18"/>
          <w:szCs w:val="18"/>
          <w:b w:val="1"/>
          <w:bCs w:val="1"/>
          <w:color w:val="auto"/>
        </w:rPr>
      </w:pPr>
    </w:p>
    <w:p>
      <w:pPr>
        <w:ind w:left="460"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Each of New Oriental China and the three wholly owned subsidiaries of the Company in China is a certified “new or high-technology enterprise” located in a high-tech zone in Beijing. As a result, each of them is entitled to a three-year exemption from enterprise income tax beginning from its first year of operation, a 7.5% enterprise income tax rate for another three years followed by a 15% tax rate so long as it continues to qualify as a “new or high-technology enterprise.” New Oriental China was exempted from enterprise income tax in 2003 and 2004 and was subject to a 7.5% enterprise income tax from 2005 to 2007, and will be subject to an 15% enterprise income tax after 2007 as long as it continues to qualify as a “new or high-technology enterprise.” Each of the three wholly owned subsidiaries of the Company in China was established in 2005 and thus was exempted from enterprise income tax from 2005 to 2007, followed by a 7.5% enterprise income tax in 2008 and 2010 and an 15% enterprise income tax thereafter as long as it continues to qualify as a “new or high-technology enterprise.”</w:t>
      </w:r>
    </w:p>
    <w:p>
      <w:pPr>
        <w:spacing w:after="0" w:line="104" w:lineRule="exact"/>
        <w:rPr>
          <w:rFonts w:ascii="Arial" w:cs="Arial" w:eastAsia="Arial" w:hAnsi="Arial"/>
          <w:sz w:val="18"/>
          <w:szCs w:val="18"/>
          <w:b w:val="1"/>
          <w:bCs w:val="1"/>
          <w:color w:val="auto"/>
        </w:rPr>
      </w:pPr>
    </w:p>
    <w:p>
      <w:pPr>
        <w:ind w:left="460" w:right="3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Group uses the liability method to account for income taxes. Deferred income taxes reflect the net tax effects of temporary differences between the carrying amount of assets and liabilities for financial reporting purposes and the amounts used for income tax purposes. Significant components of the Group’s deferred tax assets and liabilities arising from continuing operations are as follows as: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 May 31,</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2004</w:t>
            </w:r>
          </w:p>
        </w:tc>
        <w:tc>
          <w:tcPr>
            <w:tcW w:w="88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83"/>
              </w:rPr>
              <w:t>2005</w:t>
            </w:r>
          </w:p>
        </w:tc>
        <w:tc>
          <w:tcPr>
            <w:tcW w:w="300" w:type="dxa"/>
            <w:vAlign w:val="bottom"/>
          </w:tcPr>
          <w:p>
            <w:pPr>
              <w:spacing w:after="0"/>
              <w:rPr>
                <w:sz w:val="22"/>
                <w:szCs w:val="22"/>
                <w:color w:val="auto"/>
              </w:rPr>
            </w:pPr>
          </w:p>
        </w:tc>
        <w:tc>
          <w:tcPr>
            <w:tcW w:w="660" w:type="dxa"/>
            <w:vAlign w:val="bottom"/>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580" w:type="dxa"/>
            <w:vAlign w:val="bottom"/>
          </w:tcPr>
          <w:p>
            <w:pPr>
              <w:jc w:val="right"/>
              <w:ind w:right="58"/>
              <w:spacing w:after="0"/>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RMB</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580" w:type="dxa"/>
            <w:vAlign w:val="bottom"/>
          </w:tcPr>
          <w:p>
            <w:pPr>
              <w:jc w:val="right"/>
              <w:spacing w:after="0"/>
              <w:rPr>
                <w:sz w:val="20"/>
                <w:szCs w:val="20"/>
                <w:color w:val="auto"/>
              </w:rPr>
            </w:pPr>
            <w:r>
              <w:rPr>
                <w:rFonts w:ascii="Arial" w:cs="Arial" w:eastAsia="Arial" w:hAnsi="Arial"/>
                <w:sz w:val="18"/>
                <w:szCs w:val="18"/>
                <w:color w:val="auto"/>
              </w:rPr>
              <w:t>2,961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11,293</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Pre-operating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deferred tax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11,929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Valuation allowance</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(2,813)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(9,017)</w:t>
            </w:r>
          </w:p>
        </w:tc>
        <w:tc>
          <w:tcPr>
            <w:tcW w:w="3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(15,536)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Group operates through multiple subsidiaries and a variable interest entity and the valuation allowance is considered on each individual subsidiary and variable interest entity basis. Where a valuation allowance was not recorded, the Group believes that it is more likely than not that the deferred taxes will be realized as it expects to generate sufficient taxable income in future. The net deferred tax assets represent the tax effect of temporary differences arising from the net operating loss carryforward and pre-operating expenses available for certain subsidiaries of the Company to offset against future profits over a period of five years till 2007.</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did not have any temporary differences relating to deferred tax liabilities as of May 31, 2004, 2005 and 2006.</w:t>
      </w:r>
    </w:p>
    <w:p>
      <w:pPr>
        <w:spacing w:after="0" w:line="158" w:lineRule="exact"/>
        <w:rPr>
          <w:sz w:val="20"/>
          <w:szCs w:val="20"/>
          <w:color w:val="auto"/>
        </w:rPr>
      </w:pPr>
    </w:p>
    <w:p>
      <w:pPr>
        <w:ind w:left="460" w:right="500"/>
        <w:spacing w:after="0" w:line="332" w:lineRule="auto"/>
        <w:rPr>
          <w:sz w:val="20"/>
          <w:szCs w:val="20"/>
          <w:color w:val="auto"/>
        </w:rPr>
      </w:pPr>
      <w:r>
        <w:rPr>
          <w:rFonts w:ascii="Arial" w:cs="Arial" w:eastAsia="Arial" w:hAnsi="Arial"/>
          <w:sz w:val="16"/>
          <w:szCs w:val="16"/>
          <w:color w:val="auto"/>
        </w:rPr>
        <w:t>The valuation allowance from 2004 to 2006 has increased. The increase relates to the net operating losses which the Group believes will not result in income tax benefit because it is more likely than not that the related entities cannot generate future taxable income.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63"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reconciliation of the reported income tax expense to the amount that would result by applying the statutory tax rate of 33% to income from continuing operations before income taxes for the years ended May 31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Year ended May 31,</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6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90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w w:val="89"/>
              </w:rPr>
              <w:t>2005</w:t>
            </w: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21"/>
                <w:szCs w:val="21"/>
                <w:color w:val="auto"/>
              </w:rPr>
            </w:pPr>
          </w:p>
        </w:tc>
        <w:tc>
          <w:tcPr>
            <w:tcW w:w="11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RMB</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Tax expense at statutory rate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33.00%</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33.00%</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Permanent differences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11.68</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income taxed at different rates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Effect of tax exemption granted to PRC subsidiaries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(53.21)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(47.40)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25.91%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3873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income per share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Year ended May 31,</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40" w:type="dxa"/>
            <w:vAlign w:val="bottom"/>
          </w:tcPr>
          <w:p>
            <w:pPr>
              <w:spacing w:after="0"/>
              <w:rPr>
                <w:sz w:val="22"/>
                <w:szCs w:val="22"/>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122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21"/>
                <w:szCs w:val="21"/>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RMB</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Numerator used in basic and diluted net income per share: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46,442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103,252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on discontinued operation, net of tax</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38,722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Dividend in kind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attributable to holders of common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141,974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Shares (denominator):</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w w:val="90"/>
              </w:rPr>
              <w:t>Weighted average common shares and restricted shares outstanding used in computing basic income per</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share</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100,000,000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100,000,000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Plus weighted average Series A convertible preferred shares outstanding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4,840,183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3"/>
              </w:rPr>
              <w:t>Plus incremental weighted average common shares from assumed conversion of stock options using the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treasury stock method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computing diluted income per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104,840,183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111,111,111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0.46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on discontinued operation, net of tax</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Dividend in kind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0.46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0.98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on discontinued operation, net of tax</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Dividend in kind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-3451225</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-3451225</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-3451225</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-3451225</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-3451225</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-3451225</wp:posOffset>
            </wp:positionV>
            <wp:extent cx="3873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-2876550</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-2876550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-2876550</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-2876550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-2876550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-2876550</wp:posOffset>
            </wp:positionV>
            <wp:extent cx="3873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-2018665</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-2018665</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-2018665</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-2018665</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-2018665</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-2018665</wp:posOffset>
            </wp:positionV>
            <wp:extent cx="3873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-1024255</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-1024255</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-1024255</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-1024255</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-1024255</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-1024255</wp:posOffset>
            </wp:positionV>
            <wp:extent cx="3873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right="260"/>
        <w:spacing w:after="0" w:line="332" w:lineRule="auto"/>
        <w:rPr>
          <w:sz w:val="20"/>
          <w:szCs w:val="20"/>
          <w:color w:val="auto"/>
        </w:rPr>
      </w:pPr>
      <w:r>
        <w:rPr>
          <w:rFonts w:ascii="Arial" w:cs="Arial" w:eastAsia="Arial" w:hAnsi="Arial"/>
          <w:sz w:val="16"/>
          <w:szCs w:val="16"/>
          <w:color w:val="auto"/>
        </w:rPr>
        <w:t>As of May 31, 2006, the Group has 7,099,500 share options outstanding that could have potential diluted income per share in the future, but which were excluded in computation of diluted income per share in the period, as their exercise price was above the average fair values in such period.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972"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63" w:lineRule="exact"/>
        <w:rPr>
          <w:rFonts w:ascii="Arial" w:cs="Arial" w:eastAsia="Arial" w:hAnsi="Arial"/>
          <w:sz w:val="18"/>
          <w:szCs w:val="18"/>
          <w:b w:val="1"/>
          <w:bCs w:val="1"/>
          <w:color w:val="auto"/>
        </w:rPr>
      </w:pPr>
    </w:p>
    <w:p>
      <w:pPr>
        <w:ind w:left="460" w:righ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Group has entered into a number of transactions with related parties. The balances and transactions with these related parties for the years ended May 31, 2004, 2005 and 2006 are as follows:</w:t>
      </w:r>
    </w:p>
    <w:p>
      <w:pPr>
        <w:spacing w:after="0" w:line="118" w:lineRule="exact"/>
        <w:rPr>
          <w:rFonts w:ascii="Arial" w:cs="Arial" w:eastAsia="Arial" w:hAnsi="Arial"/>
          <w:sz w:val="18"/>
          <w:szCs w:val="18"/>
          <w:b w:val="1"/>
          <w:bCs w:val="1"/>
          <w:color w:val="auto"/>
        </w:rPr>
      </w:pPr>
    </w:p>
    <w:p>
      <w:pPr>
        <w:ind w:left="900" w:hanging="446"/>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Transactions</w:t>
      </w:r>
    </w:p>
    <w:p>
      <w:pPr>
        <w:spacing w:after="0" w:line="157" w:lineRule="exact"/>
        <w:rPr>
          <w:rFonts w:ascii="Arial" w:cs="Arial" w:eastAsia="Arial" w:hAnsi="Arial"/>
          <w:sz w:val="18"/>
          <w:szCs w:val="18"/>
          <w:color w:val="auto"/>
        </w:rPr>
      </w:pPr>
    </w:p>
    <w:p>
      <w:pPr>
        <w:ind w:left="1480" w:hanging="567"/>
        <w:spacing w:after="0"/>
        <w:tabs>
          <w:tab w:leader="none" w:pos="14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The Group entered into the following transactions with related parties: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Year</w:t>
            </w:r>
          </w:p>
        </w:tc>
        <w:tc>
          <w:tcPr>
            <w:tcW w:w="620" w:type="dxa"/>
            <w:vAlign w:val="bottom"/>
          </w:tcPr>
          <w:p>
            <w:pPr>
              <w:spacing w:after="0"/>
              <w:rPr>
                <w:sz w:val="14"/>
                <w:szCs w:val="14"/>
                <w:color w:val="auto"/>
              </w:rPr>
            </w:pPr>
          </w:p>
        </w:tc>
      </w:tr>
      <w:tr>
        <w:trPr>
          <w:trHeight w:val="174"/>
        </w:trPr>
        <w:tc>
          <w:tcPr>
            <w:tcW w:w="10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ended May 31,</w:t>
            </w:r>
          </w:p>
        </w:tc>
        <w:tc>
          <w:tcPr>
            <w:tcW w:w="620" w:type="dxa"/>
            <w:vAlign w:val="bottom"/>
          </w:tcPr>
          <w:p>
            <w:pPr>
              <w:spacing w:after="0"/>
              <w:rPr>
                <w:sz w:val="15"/>
                <w:szCs w:val="15"/>
                <w:color w:val="auto"/>
              </w:rPr>
            </w:pPr>
          </w:p>
        </w:tc>
      </w:tr>
      <w:tr>
        <w:trPr>
          <w:trHeight w:val="95"/>
        </w:trPr>
        <w:tc>
          <w:tcPr>
            <w:tcW w:w="10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63"/>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Transactions</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8"/>
              </w:rPr>
              <w:t>Relationship</w:t>
            </w:r>
          </w:p>
        </w:tc>
        <w:tc>
          <w:tcPr>
            <w:tcW w:w="860" w:type="dxa"/>
            <w:vAlign w:val="bottom"/>
            <w:gridSpan w:val="2"/>
          </w:tcPr>
          <w:p>
            <w:pPr>
              <w:ind w:left="440"/>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3"/>
          </w:tcPr>
          <w:p>
            <w:pPr>
              <w:jc w:val="right"/>
              <w:ind w:right="10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jc w:val="right"/>
              <w:ind w:right="106"/>
              <w:spacing w:after="0"/>
              <w:rPr>
                <w:sz w:val="20"/>
                <w:szCs w:val="20"/>
                <w:color w:val="auto"/>
              </w:rPr>
            </w:pPr>
            <w:r>
              <w:rPr>
                <w:rFonts w:ascii="Arial" w:cs="Arial" w:eastAsia="Arial" w:hAnsi="Arial"/>
                <w:sz w:val="14"/>
                <w:szCs w:val="14"/>
                <w:b w:val="1"/>
                <w:bCs w:val="1"/>
                <w:color w:val="auto"/>
              </w:rPr>
              <w:t>2006</w:t>
            </w:r>
          </w:p>
        </w:tc>
      </w:tr>
      <w:tr>
        <w:trPr>
          <w:trHeight w:val="95"/>
        </w:trPr>
        <w:tc>
          <w:tcPr>
            <w:tcW w:w="10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50"/>
        </w:trPr>
        <w:tc>
          <w:tcPr>
            <w:tcW w:w="10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RMB</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fees earned by Beijing Beizhi Cultural Education Co., Ltd</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Principal shareholder</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4"/>
              </w:rPr>
              <w:t>2,400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r>
      <w:tr>
        <w:trPr>
          <w:trHeight w:val="132"/>
        </w:trPr>
        <w:tc>
          <w:tcPr>
            <w:tcW w:w="10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1480" w:right="120" w:hanging="567"/>
        <w:spacing w:after="0" w:line="298" w:lineRule="auto"/>
        <w:tabs>
          <w:tab w:leader="none" w:pos="14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In December 2004, the Group entered into a sale agreement with Mr. Qian Yongqiang, a director of the Group, to transfer its 56.2% interest in Liandong Weiye to Mr. Qian. The Group disposed of its 56.2% stake of Liandong Weiye for cash consideration of RMB5,123. The disposal was completed in March 2005 when control was passed to Mr. Qian. The Group loaned Mr. Qian an aggregate amount of 5,123 for the purpose to making the purchase. As of May 31, 2006, the total remaining outstanding balance of the loan to Mr. Qian was nil.</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Group had the following balances with related parties: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Amounts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Amounts</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0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87"/>
              </w:rPr>
              <w:t>due from related parties</w:t>
            </w:r>
          </w:p>
        </w:tc>
        <w:tc>
          <w:tcPr>
            <w:tcW w:w="17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due to related parties</w:t>
            </w:r>
          </w:p>
        </w:tc>
        <w:tc>
          <w:tcPr>
            <w:tcW w:w="0" w:type="dxa"/>
            <w:vAlign w:val="bottom"/>
          </w:tcPr>
          <w:p>
            <w:pPr>
              <w:spacing w:after="0"/>
              <w:rPr>
                <w:sz w:val="1"/>
                <w:szCs w:val="1"/>
                <w:color w:val="auto"/>
              </w:rPr>
            </w:pPr>
          </w:p>
        </w:tc>
      </w:tr>
      <w:tr>
        <w:trPr>
          <w:trHeight w:val="95"/>
        </w:trPr>
        <w:tc>
          <w:tcPr>
            <w:tcW w:w="60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0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7"/>
          </w:tcPr>
          <w:p>
            <w:pPr>
              <w:jc w:val="center"/>
              <w:ind w:left="340"/>
              <w:spacing w:after="0"/>
              <w:rPr>
                <w:sz w:val="20"/>
                <w:szCs w:val="20"/>
                <w:color w:val="auto"/>
              </w:rPr>
            </w:pPr>
            <w:r>
              <w:rPr>
                <w:rFonts w:ascii="Arial" w:cs="Arial" w:eastAsia="Arial" w:hAnsi="Arial"/>
                <w:sz w:val="14"/>
                <w:szCs w:val="14"/>
                <w:b w:val="1"/>
                <w:bCs w:val="1"/>
                <w:color w:val="auto"/>
                <w:w w:val="89"/>
              </w:rPr>
              <w:t>As of May 31,</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4"/>
          </w:tcPr>
          <w:p>
            <w:pPr>
              <w:jc w:val="center"/>
              <w:ind w:left="360"/>
              <w:spacing w:after="0"/>
              <w:rPr>
                <w:sz w:val="20"/>
                <w:szCs w:val="20"/>
                <w:color w:val="auto"/>
              </w:rPr>
            </w:pPr>
            <w:r>
              <w:rPr>
                <w:rFonts w:ascii="Arial" w:cs="Arial" w:eastAsia="Arial" w:hAnsi="Arial"/>
                <w:sz w:val="14"/>
                <w:szCs w:val="14"/>
                <w:b w:val="1"/>
                <w:bCs w:val="1"/>
                <w:color w:val="auto"/>
                <w:w w:val="89"/>
              </w:rPr>
              <w:t>As of May 31,</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040" w:type="dxa"/>
            <w:vAlign w:val="bottom"/>
          </w:tcPr>
          <w:p>
            <w:pPr>
              <w:spacing w:after="0"/>
              <w:rPr>
                <w:sz w:val="22"/>
                <w:szCs w:val="22"/>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Relationship</w:t>
            </w:r>
          </w:p>
        </w:tc>
        <w:tc>
          <w:tcPr>
            <w:tcW w:w="480" w:type="dxa"/>
            <w:vAlign w:val="bottom"/>
          </w:tcPr>
          <w:p>
            <w:pPr>
              <w:ind w:left="1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22"/>
                <w:szCs w:val="22"/>
                <w:color w:val="auto"/>
              </w:rPr>
            </w:pPr>
          </w:p>
        </w:tc>
        <w:tc>
          <w:tcPr>
            <w:tcW w:w="560" w:type="dxa"/>
            <w:vAlign w:val="bottom"/>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5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RMB</w:t>
            </w:r>
          </w:p>
        </w:tc>
        <w:tc>
          <w:tcPr>
            <w:tcW w:w="6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RMB</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RMB</w:t>
            </w:r>
          </w:p>
        </w:tc>
        <w:tc>
          <w:tcPr>
            <w:tcW w:w="560" w:type="dxa"/>
            <w:vAlign w:val="bottom"/>
          </w:tcPr>
          <w:p>
            <w:pPr>
              <w:jc w:val="right"/>
              <w:ind w:right="4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1"/>
                <w:szCs w:val="21"/>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RMB</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Beijing Century Friendship Education Investment Co., Ltd.</w:t>
            </w: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w w:val="93"/>
              </w:rPr>
              <w:t>Principal shareholder</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Mr. Michael Yu Minghong</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Director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Mr. Qian Yongqiang</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Director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Ms. Li Li</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Nominee shareholder</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Liandong Weiye</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Equity investment</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1,798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shareholders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Employee</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0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8,527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0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non-current advances are non-interest bearing and unsecured with no fixed repayment terms.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right="9760" w:hanging="452"/>
        <w:spacing w:after="0" w:line="511" w:lineRule="auto"/>
        <w:tabs>
          <w:tab w:leader="none" w:pos="449" w:val="left"/>
        </w:tabs>
        <w:numPr>
          <w:ilvl w:val="0"/>
          <w:numId w:val="1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w:t>
      </w:r>
      <w:r>
        <w:rPr>
          <w:rFonts w:ascii="Arial" w:cs="Arial" w:eastAsia="Arial" w:hAnsi="Arial"/>
          <w:sz w:val="15"/>
          <w:szCs w:val="15"/>
          <w:b w:val="1"/>
          <w:bCs w:val="1"/>
          <w:i w:val="1"/>
          <w:iCs w:val="1"/>
          <w:color w:val="auto"/>
        </w:rPr>
        <w:t>Operating Lease</w:t>
      </w:r>
    </w:p>
    <w:p>
      <w:pPr>
        <w:ind w:left="460" w:right="200"/>
        <w:spacing w:after="0" w:line="306" w:lineRule="auto"/>
        <w:rPr>
          <w:rFonts w:ascii="Arial" w:cs="Arial" w:eastAsia="Arial" w:hAnsi="Arial"/>
          <w:sz w:val="15"/>
          <w:szCs w:val="15"/>
          <w:b w:val="1"/>
          <w:bCs w:val="1"/>
          <w:color w:val="auto"/>
        </w:rPr>
      </w:pPr>
      <w:r>
        <w:rPr>
          <w:rFonts w:ascii="Arial" w:cs="Arial" w:eastAsia="Arial" w:hAnsi="Arial"/>
          <w:sz w:val="16"/>
          <w:szCs w:val="16"/>
          <w:color w:val="auto"/>
        </w:rPr>
        <w:t>The Group conducts significant operations from leased facilities. These facilities include the Group’s corporate headquarters prior to October 2005, other office locations, classrooms and warehouse space. The terms of substantially all of these leases are ten years or less. Future minimum lease payments at May 31, 2006, by year and in the aggregate under all non-cancelable operating leases are as follows:</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740" w:type="dxa"/>
            <w:vAlign w:val="bottom"/>
          </w:tcPr>
          <w:p>
            <w:pPr>
              <w:jc w:val="right"/>
              <w:ind w:right="135"/>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Years ending May 31:</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2007</w:t>
            </w:r>
          </w:p>
        </w:tc>
        <w:tc>
          <w:tcPr>
            <w:tcW w:w="740" w:type="dxa"/>
            <w:vAlign w:val="bottom"/>
          </w:tcPr>
          <w:p>
            <w:pPr>
              <w:jc w:val="right"/>
              <w:spacing w:after="0"/>
              <w:rPr>
                <w:sz w:val="20"/>
                <w:szCs w:val="20"/>
                <w:color w:val="auto"/>
              </w:rPr>
            </w:pPr>
            <w:r>
              <w:rPr>
                <w:rFonts w:ascii="Arial" w:cs="Arial" w:eastAsia="Arial" w:hAnsi="Arial"/>
                <w:sz w:val="18"/>
                <w:szCs w:val="18"/>
                <w:color w:val="auto"/>
              </w:rPr>
              <w:t>69,817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2009</w:t>
            </w:r>
          </w:p>
        </w:tc>
        <w:tc>
          <w:tcPr>
            <w:tcW w:w="740" w:type="dxa"/>
            <w:vAlign w:val="bottom"/>
          </w:tcPr>
          <w:p>
            <w:pPr>
              <w:jc w:val="right"/>
              <w:spacing w:after="0"/>
              <w:rPr>
                <w:sz w:val="20"/>
                <w:szCs w:val="20"/>
                <w:color w:val="auto"/>
              </w:rPr>
            </w:pPr>
            <w:r>
              <w:rPr>
                <w:rFonts w:ascii="Arial" w:cs="Arial" w:eastAsia="Arial" w:hAnsi="Arial"/>
                <w:sz w:val="18"/>
                <w:szCs w:val="18"/>
                <w:color w:val="auto"/>
              </w:rPr>
              <w:t>53,914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2011</w:t>
            </w:r>
          </w:p>
        </w:tc>
        <w:tc>
          <w:tcPr>
            <w:tcW w:w="740" w:type="dxa"/>
            <w:vAlign w:val="bottom"/>
          </w:tcPr>
          <w:p>
            <w:pPr>
              <w:jc w:val="right"/>
              <w:spacing w:after="0"/>
              <w:rPr>
                <w:sz w:val="20"/>
                <w:szCs w:val="20"/>
                <w:color w:val="auto"/>
              </w:rPr>
            </w:pPr>
            <w:r>
              <w:rPr>
                <w:rFonts w:ascii="Arial" w:cs="Arial" w:eastAsia="Arial" w:hAnsi="Arial"/>
                <w:sz w:val="18"/>
                <w:szCs w:val="18"/>
                <w:color w:val="auto"/>
              </w:rPr>
              <w:t>24,956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Rent expense included in income from continuing operations for all cancelable and non-cancelable leases was approximately RMB65,799, RMB91,560 and RMB79,590 for the years ended May 31, 2004, 2005 and 2006, respectively. Rent expense included in income from discontinued operations for all cancelable and non-cancelable leases was approximately RMB1,562 and RMB1,351 for the years ended May 31, 2004 and May 31, 2005, respectively.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commitment</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Capital commitment for purchase of property and equipment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Capital commitment for leasehold improvements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4,836</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82" w:lineRule="exact"/>
        <w:rPr>
          <w:rFonts w:ascii="Arial" w:cs="Arial" w:eastAsia="Arial" w:hAnsi="Arial"/>
          <w:sz w:val="18"/>
          <w:szCs w:val="18"/>
          <w:b w:val="1"/>
          <w:bCs w:val="1"/>
          <w:color w:val="auto"/>
        </w:rPr>
      </w:pPr>
    </w:p>
    <w:p>
      <w:pPr>
        <w:ind w:left="460" w:right="1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Group offers a wide range of educational programs, services and products consisting primarily of English and other foreign language training, test preparation courses for major admissions and assessment tests in the United States, the PRC and Commonwealth countries, primary and secondary school education, educational content, software and other technology development and distribution, and online education.</w:t>
      </w:r>
    </w:p>
    <w:p>
      <w:pPr>
        <w:spacing w:after="0" w:line="93" w:lineRule="exact"/>
        <w:rPr>
          <w:rFonts w:ascii="Arial" w:cs="Arial" w:eastAsia="Arial" w:hAnsi="Arial"/>
          <w:sz w:val="18"/>
          <w:szCs w:val="18"/>
          <w:b w:val="1"/>
          <w:bCs w:val="1"/>
          <w:color w:val="auto"/>
        </w:rPr>
      </w:pPr>
    </w:p>
    <w:p>
      <w:pPr>
        <w:ind w:left="46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Group’s chief operating decision maker has been identified as the Chief Executive Officer, who reviews consolidated results when making decisions about allocating resources and assessing performance of the Group. The Group uses the management approach to determine operating segments. The management considers the internal organization and reporting used by the Group’s chief operating decision makers for making decisions resource allocations and assessing performance. Based on management assessment, the Group has determined that it has six operating segments which are language training and test preparation courses, primary and secondary school education, on-line education, content development and distribution, post-secondary education and overseas study consulting services. The six operating segments have been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3"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aggregated into two reportable segments which are language training and test preparation courses, primary and secondary education. The on-line education, content development and distribution, post-secondary education and overseas study consulting services operating segments have been aggregated as others as individually they do not exceed the 10% quantitative threshold.</w:t>
      </w:r>
    </w:p>
    <w:p>
      <w:pPr>
        <w:spacing w:after="0" w:line="126" w:lineRule="exact"/>
        <w:rPr>
          <w:rFonts w:ascii="Arial" w:cs="Arial" w:eastAsia="Arial" w:hAnsi="Arial"/>
          <w:sz w:val="18"/>
          <w:szCs w:val="18"/>
          <w:b w:val="1"/>
          <w:bCs w:val="1"/>
          <w:color w:val="auto"/>
        </w:rPr>
      </w:pPr>
    </w:p>
    <w:p>
      <w:pPr>
        <w:ind w:left="460" w:right="300"/>
        <w:spacing w:after="0" w:line="471" w:lineRule="auto"/>
        <w:rPr>
          <w:rFonts w:ascii="Arial" w:cs="Arial" w:eastAsia="Arial" w:hAnsi="Arial"/>
          <w:sz w:val="18"/>
          <w:szCs w:val="18"/>
          <w:b w:val="1"/>
          <w:bCs w:val="1"/>
          <w:color w:val="auto"/>
        </w:rPr>
      </w:pPr>
      <w:r>
        <w:rPr>
          <w:rFonts w:ascii="Arial" w:cs="Arial" w:eastAsia="Arial" w:hAnsi="Arial"/>
          <w:sz w:val="16"/>
          <w:szCs w:val="16"/>
          <w:color w:val="auto"/>
        </w:rPr>
        <w:t>The Group’s chief operating decision maker evaluates segment performance based on net revenues operating costs and expenses and operating income. The net revenues operating costs and expenses and operating income and total assets by segment is as follows: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 the year ended May 31, 2004</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Language training</w:t>
            </w: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and test</w:t>
            </w:r>
          </w:p>
        </w:tc>
        <w:tc>
          <w:tcPr>
            <w:tcW w:w="20" w:type="dxa"/>
            <w:vAlign w:val="bottom"/>
          </w:tcPr>
          <w:p>
            <w:pPr>
              <w:spacing w:after="0"/>
              <w:rPr>
                <w:sz w:val="12"/>
                <w:szCs w:val="12"/>
                <w:color w:val="auto"/>
              </w:rPr>
            </w:pPr>
          </w:p>
        </w:tc>
        <w:tc>
          <w:tcPr>
            <w:tcW w:w="17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Primary and</w:t>
            </w: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preparation courses</w:t>
            </w:r>
          </w:p>
        </w:tc>
        <w:tc>
          <w:tcPr>
            <w:tcW w:w="17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4"/>
              </w:rPr>
              <w:t>Secondary education</w:t>
            </w: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Others</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RMB</w:t>
            </w:r>
          </w:p>
        </w:tc>
        <w:tc>
          <w:tcPr>
            <w:tcW w:w="20" w:type="dxa"/>
            <w:vAlign w:val="bottom"/>
          </w:tcPr>
          <w:p>
            <w:pPr>
              <w:spacing w:after="0"/>
              <w:rPr>
                <w:sz w:val="21"/>
                <w:szCs w:val="21"/>
                <w:color w:val="auto"/>
              </w:rPr>
            </w:pPr>
          </w:p>
        </w:tc>
        <w:tc>
          <w:tcPr>
            <w:tcW w:w="17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RMB</w:t>
            </w: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423,970</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11,411</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(173,732)</w:t>
            </w:r>
          </w:p>
        </w:tc>
        <w:tc>
          <w:tcPr>
            <w:tcW w:w="1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(6,632)</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(10,643)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(31,782)</w:t>
            </w:r>
          </w:p>
        </w:tc>
        <w:tc>
          <w:tcPr>
            <w:tcW w:w="1780" w:type="dxa"/>
            <w:vAlign w:val="bottom"/>
            <w:gridSpan w:val="4"/>
          </w:tcPr>
          <w:p>
            <w:pPr>
              <w:jc w:val="right"/>
              <w:ind w:right="500"/>
              <w:spacing w:after="0"/>
              <w:rPr>
                <w:sz w:val="20"/>
                <w:szCs w:val="20"/>
                <w:color w:val="auto"/>
              </w:rPr>
            </w:pPr>
            <w:r>
              <w:rPr>
                <w:rFonts w:ascii="Arial" w:cs="Arial" w:eastAsia="Arial" w:hAnsi="Arial"/>
                <w:sz w:val="18"/>
                <w:szCs w:val="18"/>
                <w:color w:val="auto"/>
              </w:rPr>
              <w:t>(588)</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(5,275)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(116,109)</w:t>
            </w:r>
          </w:p>
        </w:tc>
        <w:tc>
          <w:tcPr>
            <w:tcW w:w="1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(8,227)</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(133,456)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 and expenses</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(321,623)</w:t>
            </w:r>
          </w:p>
        </w:tc>
        <w:tc>
          <w:tcPr>
            <w:tcW w:w="1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(15,447)</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(25,038)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(362,108)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102,347</w:t>
            </w:r>
          </w:p>
        </w:tc>
        <w:tc>
          <w:tcPr>
            <w:tcW w:w="54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(9,019)</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(13,627)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307,032</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192,652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64,018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Unallocated corporate assets</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operations</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307,032</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192,652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64,018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F-31</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-1183640</wp:posOffset>
            </wp:positionV>
            <wp:extent cx="1270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-1183640</wp:posOffset>
            </wp:positionV>
            <wp:extent cx="3873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-1183640</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-1183640</wp:posOffset>
            </wp:positionV>
            <wp:extent cx="3873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-1183640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-1183640</wp:posOffset>
            </wp:positionV>
            <wp:extent cx="38735"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-1183640</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-1183640</wp:posOffset>
            </wp:positionV>
            <wp:extent cx="38735"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-325755</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-325755</wp:posOffset>
            </wp:positionV>
            <wp:extent cx="3873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38735"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-325755</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38735"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17.   Segment information (continued)</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940" w:type="dxa"/>
            <w:vAlign w:val="bottom"/>
            <w:gridSpan w:val="2"/>
          </w:tcPr>
          <w:p>
            <w:pPr>
              <w:ind w:left="460"/>
              <w:spacing w:after="0"/>
              <w:rPr>
                <w:sz w:val="20"/>
                <w:szCs w:val="20"/>
                <w:color w:val="auto"/>
              </w:rPr>
            </w:pPr>
            <w:r>
              <w:rPr>
                <w:rFonts w:ascii="Arial" w:cs="Arial" w:eastAsia="Arial" w:hAnsi="Arial"/>
                <w:sz w:val="18"/>
                <w:szCs w:val="18"/>
                <w:b w:val="1"/>
                <w:bCs w:val="1"/>
                <w:color w:val="auto"/>
              </w:rPr>
              <w:t>For the year ended May 31, 2005</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Language training</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and test</w:t>
            </w: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Primary and</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4"/>
              </w:rPr>
              <w:t>preparation courses</w:t>
            </w:r>
          </w:p>
        </w:tc>
        <w:tc>
          <w:tcPr>
            <w:tcW w:w="17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4"/>
              </w:rPr>
              <w:t>Secondary education</w:t>
            </w: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Others</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17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RMB</w:t>
            </w: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590,895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36,458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(229,370)</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(12,690)</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(31,630)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(273,690)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680" w:type="dxa"/>
            <w:vAlign w:val="bottom"/>
            <w:gridSpan w:val="4"/>
          </w:tcPr>
          <w:p>
            <w:pPr>
              <w:jc w:val="right"/>
              <w:ind w:right="460"/>
              <w:spacing w:after="0"/>
              <w:rPr>
                <w:sz w:val="20"/>
                <w:szCs w:val="20"/>
                <w:color w:val="auto"/>
              </w:rPr>
            </w:pPr>
            <w:r>
              <w:rPr>
                <w:rFonts w:ascii="Arial" w:cs="Arial" w:eastAsia="Arial" w:hAnsi="Arial"/>
                <w:sz w:val="18"/>
                <w:szCs w:val="18"/>
                <w:color w:val="auto"/>
              </w:rPr>
              <w:t>(38,282)</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(7,892)</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(46,425)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(148,978)</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(12,346)</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(19,498)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(180,822)</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 and expenses</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(416,630)</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(25,287)</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(59,020)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(500,937)</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174,265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(9,370)</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(22,562)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420,497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285,289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101,384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Unallocated corporate assets</w:t>
            </w:r>
          </w:p>
        </w:tc>
        <w:tc>
          <w:tcPr>
            <w:tcW w:w="20" w:type="dxa"/>
            <w:vAlign w:val="bottom"/>
          </w:tcPr>
          <w:p>
            <w:pPr>
              <w:spacing w:after="0"/>
              <w:rPr>
                <w:sz w:val="18"/>
                <w:szCs w:val="18"/>
                <w:color w:val="auto"/>
              </w:rPr>
            </w:pP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76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288,021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420,497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285,289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101,384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1,113,312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94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For the year ended May 31, 2006</w:t>
            </w:r>
          </w:p>
        </w:tc>
        <w:tc>
          <w:tcPr>
            <w:tcW w:w="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9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Language training</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and test</w:t>
            </w: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Primary and</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4"/>
              </w:rPr>
              <w:t>preparation courses</w:t>
            </w:r>
          </w:p>
        </w:tc>
        <w:tc>
          <w:tcPr>
            <w:tcW w:w="17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4"/>
              </w:rPr>
              <w:t>Secondary education</w:t>
            </w: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Others</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40" w:type="dxa"/>
            <w:vAlign w:val="bottom"/>
            <w:gridSpan w:val="3"/>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17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RMB</w:t>
            </w: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687,437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51,502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(262,086)</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(20,714)</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(37,767)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(320,567)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680" w:type="dxa"/>
            <w:vAlign w:val="bottom"/>
            <w:gridSpan w:val="4"/>
          </w:tcPr>
          <w:p>
            <w:pPr>
              <w:jc w:val="right"/>
              <w:ind w:right="460"/>
              <w:spacing w:after="0"/>
              <w:rPr>
                <w:sz w:val="20"/>
                <w:szCs w:val="20"/>
                <w:color w:val="auto"/>
              </w:rPr>
            </w:pPr>
            <w:r>
              <w:rPr>
                <w:rFonts w:ascii="Arial" w:cs="Arial" w:eastAsia="Arial" w:hAnsi="Arial"/>
                <w:sz w:val="18"/>
                <w:szCs w:val="18"/>
                <w:color w:val="auto"/>
              </w:rPr>
              <w:t>(59,639)</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w w:val="86"/>
              </w:rPr>
              <w:t>(12,077)</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(72,076)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(144,123)</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(20,097)</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(26,357)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(190,577)</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680" w:type="dxa"/>
            <w:vAlign w:val="bottom"/>
            <w:gridSpan w:val="4"/>
          </w:tcPr>
          <w:p>
            <w:pPr>
              <w:spacing w:after="0"/>
              <w:rPr>
                <w:sz w:val="9"/>
                <w:szCs w:val="9"/>
                <w:color w:val="auto"/>
              </w:rPr>
            </w:pPr>
          </w:p>
        </w:tc>
        <w:tc>
          <w:tcPr>
            <w:tcW w:w="17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8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 and expenses</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(465,848)</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(41,171)</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(76,201)</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(583,220)</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gridSpan w:val="3"/>
          </w:tcPr>
          <w:p>
            <w:pPr>
              <w:spacing w:after="0"/>
              <w:rPr>
                <w:sz w:val="9"/>
                <w:szCs w:val="9"/>
                <w:color w:val="auto"/>
              </w:rPr>
            </w:pPr>
          </w:p>
        </w:tc>
        <w:tc>
          <w:tcPr>
            <w:tcW w:w="1760" w:type="dxa"/>
            <w:vAlign w:val="bottom"/>
            <w:gridSpan w:val="4"/>
          </w:tcPr>
          <w:p>
            <w:pPr>
              <w:spacing w:after="0"/>
              <w:rPr>
                <w:sz w:val="9"/>
                <w:szCs w:val="9"/>
                <w:color w:val="auto"/>
              </w:rPr>
            </w:pPr>
          </w:p>
        </w:tc>
        <w:tc>
          <w:tcPr>
            <w:tcW w:w="1060" w:type="dxa"/>
            <w:vAlign w:val="bottom"/>
            <w:gridSpan w:val="3"/>
          </w:tcPr>
          <w:p>
            <w:pPr>
              <w:spacing w:after="0"/>
              <w:rPr>
                <w:sz w:val="9"/>
                <w:szCs w:val="9"/>
                <w:color w:val="auto"/>
              </w:rPr>
            </w:pPr>
          </w:p>
        </w:tc>
        <w:tc>
          <w:tcPr>
            <w:tcW w:w="8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(122,880)</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7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221,589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(9,851)</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(24,699)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1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522,184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297,063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135,136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954,383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Unallocated corporate assets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522,184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297,063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135,136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1,089,562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jc w:val="right"/>
              <w:ind w:right="740"/>
              <w:spacing w:after="0"/>
              <w:rPr>
                <w:sz w:val="20"/>
                <w:szCs w:val="20"/>
                <w:color w:val="auto"/>
              </w:rPr>
            </w:pPr>
            <w:r>
              <w:rPr>
                <w:rFonts w:ascii="Arial" w:cs="Arial" w:eastAsia="Arial" w:hAnsi="Arial"/>
                <w:sz w:val="18"/>
                <w:szCs w:val="18"/>
                <w:color w:val="auto"/>
              </w:rPr>
              <w:t>F-32</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-4588510</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-4588510</wp:posOffset>
            </wp:positionV>
            <wp:extent cx="38735"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-4588510</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-4588510</wp:posOffset>
            </wp:positionV>
            <wp:extent cx="3873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-4588510</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-4588510</wp:posOffset>
            </wp:positionV>
            <wp:extent cx="38735"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-4588510</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-4588510</wp:posOffset>
            </wp:positionV>
            <wp:extent cx="3873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-3730625</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-3730625</wp:posOffset>
            </wp:positionV>
            <wp:extent cx="38735"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-3730625</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-3730625</wp:posOffset>
            </wp:positionV>
            <wp:extent cx="38735"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-3730625</wp:posOffset>
            </wp:positionV>
            <wp:extent cx="1270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-3730625</wp:posOffset>
            </wp:positionV>
            <wp:extent cx="38735"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-3730625</wp:posOffset>
            </wp:positionV>
            <wp:extent cx="1270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-3730625</wp:posOffset>
            </wp:positionV>
            <wp:extent cx="38735"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-1183640</wp:posOffset>
            </wp:positionV>
            <wp:extent cx="127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-1183640</wp:posOffset>
            </wp:positionV>
            <wp:extent cx="38735"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-1183640</wp:posOffset>
            </wp:positionV>
            <wp:extent cx="1270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-1183640</wp:posOffset>
            </wp:positionV>
            <wp:extent cx="38735"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-1183640</wp:posOffset>
            </wp:positionV>
            <wp:extent cx="1270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-1183640</wp:posOffset>
            </wp:positionV>
            <wp:extent cx="38735"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-1183640</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-1183640</wp:posOffset>
            </wp:positionV>
            <wp:extent cx="38735"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-325755</wp:posOffset>
            </wp:positionV>
            <wp:extent cx="1270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-325755</wp:posOffset>
            </wp:positionV>
            <wp:extent cx="38735"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-325755</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38735"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1270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38735"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280"/>
          </w:cols>
          <w:pgMar w:left="240" w:top="459" w:right="13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3"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i w:val="1"/>
          <w:iCs w:val="1"/>
          <w:color w:val="auto"/>
        </w:rPr>
        <w:t>Geographical Disclosures</w:t>
      </w:r>
      <w:r>
        <w:rPr>
          <w:rFonts w:ascii="Arial" w:cs="Arial" w:eastAsia="Arial" w:hAnsi="Arial"/>
          <w:sz w:val="18"/>
          <w:szCs w:val="18"/>
          <w:color w:val="auto"/>
        </w:rPr>
        <w:t>—The Company operates in the PRC. All the identifiable assets of the Company are located in the PRC and the Company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allocate such assets to individual segments.</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Mainland China contribution plan and profit appropriation</w:t>
      </w:r>
    </w:p>
    <w:p>
      <w:pPr>
        <w:spacing w:after="0" w:line="163" w:lineRule="exact"/>
        <w:rPr>
          <w:rFonts w:ascii="Arial" w:cs="Arial" w:eastAsia="Arial" w:hAnsi="Arial"/>
          <w:sz w:val="18"/>
          <w:szCs w:val="18"/>
          <w:b w:val="1"/>
          <w:bCs w:val="1"/>
          <w:color w:val="auto"/>
        </w:rPr>
      </w:pPr>
    </w:p>
    <w:p>
      <w:pPr>
        <w:ind w:left="460" w:right="1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PRC labor regulations require the Group to accrue for these benefits based on certain percentages of the employees’ salaries. The total contributions for such employee benefits were RMB3,150, RMB5,797, and RMB10,148 for the years ended May 31, 2004, 2005 and 2006, respectively.</w:t>
      </w:r>
    </w:p>
    <w:p>
      <w:pPr>
        <w:spacing w:after="0" w:line="93" w:lineRule="exact"/>
        <w:rPr>
          <w:rFonts w:ascii="Arial" w:cs="Arial" w:eastAsia="Arial" w:hAnsi="Arial"/>
          <w:sz w:val="18"/>
          <w:szCs w:val="18"/>
          <w:b w:val="1"/>
          <w:bCs w:val="1"/>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63"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Relevant PRC statutory laws and regulations permit payments of dividends by the Group’s PRC variable interest entity and subsidiaries only out of their retained earnings, if any, as determined in accordance with RPC accounting standards and regulations. In addition, PRC laws and regulations require that annual appropriations of 10% of after-tax income should be set aside prior to payments of dividends as reserve fund. As a result of these PRC laws and regulations, the Group’s PRC variable interest entity and subsidiaries are restricted in their ability to transfer a portion of their net assets to either in the form of dividends, loans or advances, which restricted portion amounted to approximately RMB16,198 as of May 31, 2004, RMB38,700 as of May 31, 2005, and RMB56,111 as of May 31, 2006.</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BEIJING NEW ORIENTAL EDUCATION &amp; TECHNOLOGY (GROUP) CO., LTD., (“New Oriental China”)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Information—Financial Statement Schedule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These Financial Statements Have Been Prepared in Conformity with Accounting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Principles Generally Accepted in the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jc w:val="right"/>
              <w:ind w:right="6092"/>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Current assets:</w:t>
            </w:r>
          </w:p>
        </w:tc>
        <w:tc>
          <w:tcPr>
            <w:tcW w:w="6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due from subsidiaries (trade)</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w w:val="99"/>
              </w:rPr>
              <w:t>Amounts due from subsidiaries (non-trade)</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7,204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w w:val="98"/>
              </w:rPr>
              <w:t>Prepaid expenses and other current assets</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5,494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9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party</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1"/>
              </w:rPr>
              <w:t>Deposit for acquisition of property and equipment</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132,347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181,961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jc w:val="right"/>
              <w:ind w:right="4992"/>
              <w:spacing w:after="0"/>
              <w:rPr>
                <w:sz w:val="20"/>
                <w:szCs w:val="20"/>
                <w:color w:val="auto"/>
              </w:rPr>
            </w:pPr>
            <w:r>
              <w:rPr>
                <w:rFonts w:ascii="Arial" w:cs="Arial" w:eastAsia="Arial" w:hAnsi="Arial"/>
                <w:sz w:val="18"/>
                <w:szCs w:val="18"/>
                <w:b w:val="1"/>
                <w:bCs w:val="1"/>
                <w:color w:val="auto"/>
                <w:w w:val="90"/>
              </w:rPr>
              <w:t>Liabilities and shareholders’ equity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Current liabilities</w:t>
            </w:r>
          </w:p>
        </w:tc>
        <w:tc>
          <w:tcPr>
            <w:tcW w:w="6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due to subsidiaries (non-trade)</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w w:val="92"/>
              </w:rPr>
              <w:t>Accrued Expenses and other current liabilities</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4,380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9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142,490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223,880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9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84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20" w:type="dxa"/>
            <w:vAlign w:val="bottom"/>
            <w:gridSpan w:val="3"/>
          </w:tcPr>
          <w:p>
            <w:pPr>
              <w:ind w:left="1920"/>
              <w:spacing w:after="0"/>
              <w:rPr>
                <w:sz w:val="20"/>
                <w:szCs w:val="20"/>
                <w:color w:val="auto"/>
              </w:rPr>
            </w:pPr>
            <w:r>
              <w:rPr>
                <w:rFonts w:ascii="Arial" w:cs="Arial" w:eastAsia="Arial" w:hAnsi="Arial"/>
                <w:sz w:val="18"/>
                <w:szCs w:val="18"/>
                <w:color w:val="auto"/>
              </w:rPr>
              <w:t>F-34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-2306955</wp:posOffset>
            </wp:positionV>
            <wp:extent cx="1270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-2306955</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-325755</wp:posOffset>
            </wp:positionV>
            <wp:extent cx="1270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60" w:type="dxa"/>
            <w:vAlign w:val="bottom"/>
          </w:tcPr>
          <w:p>
            <w:pPr>
              <w:jc w:val="center"/>
              <w:ind w:left="752"/>
              <w:spacing w:after="0"/>
              <w:rPr>
                <w:sz w:val="20"/>
                <w:szCs w:val="20"/>
                <w:color w:val="auto"/>
              </w:rPr>
            </w:pPr>
            <w:r>
              <w:rPr>
                <w:rFonts w:ascii="Arial" w:cs="Arial" w:eastAsia="Arial" w:hAnsi="Arial"/>
                <w:sz w:val="18"/>
                <w:szCs w:val="18"/>
                <w:b w:val="1"/>
                <w:bCs w:val="1"/>
                <w:color w:val="auto"/>
                <w:w w:val="97"/>
              </w:rPr>
              <w:t>BEIJING NEW ORIENTAL EDUCATION &amp; TECHNOLOGY (GROUP) CO., LTD., (“New Oriental China”)</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jc w:val="center"/>
              <w:ind w:left="732"/>
              <w:spacing w:after="0"/>
              <w:rPr>
                <w:sz w:val="20"/>
                <w:szCs w:val="20"/>
                <w:color w:val="auto"/>
              </w:rPr>
            </w:pPr>
            <w:r>
              <w:rPr>
                <w:rFonts w:ascii="Arial" w:cs="Arial" w:eastAsia="Arial" w:hAnsi="Arial"/>
                <w:sz w:val="18"/>
                <w:szCs w:val="18"/>
                <w:b w:val="1"/>
                <w:bCs w:val="1"/>
                <w:color w:val="auto"/>
                <w:w w:val="89"/>
              </w:rPr>
              <w:t>Additional Information—Financial Statement Schedule 1</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jc w:val="center"/>
              <w:ind w:left="752"/>
              <w:spacing w:after="0"/>
              <w:rPr>
                <w:sz w:val="20"/>
                <w:szCs w:val="20"/>
                <w:color w:val="auto"/>
              </w:rPr>
            </w:pPr>
            <w:r>
              <w:rPr>
                <w:rFonts w:ascii="Arial" w:cs="Arial" w:eastAsia="Arial" w:hAnsi="Arial"/>
                <w:sz w:val="18"/>
                <w:szCs w:val="18"/>
                <w:b w:val="1"/>
                <w:bCs w:val="1"/>
                <w:color w:val="auto"/>
                <w:w w:val="88"/>
              </w:rPr>
              <w:t>These Financial Statements Have Been Prepared in Conformity with Accounting</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jc w:val="center"/>
              <w:ind w:left="732"/>
              <w:spacing w:after="0"/>
              <w:rPr>
                <w:sz w:val="20"/>
                <w:szCs w:val="20"/>
                <w:color w:val="auto"/>
              </w:rPr>
            </w:pPr>
            <w:r>
              <w:rPr>
                <w:rFonts w:ascii="Arial" w:cs="Arial" w:eastAsia="Arial" w:hAnsi="Arial"/>
                <w:sz w:val="18"/>
                <w:szCs w:val="18"/>
                <w:b w:val="1"/>
                <w:bCs w:val="1"/>
                <w:color w:val="auto"/>
                <w:w w:val="87"/>
              </w:rPr>
              <w:t>Principles Generally Accepted in the United States.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jc w:val="center"/>
              <w:ind w:left="732"/>
              <w:spacing w:after="0"/>
              <w:rPr>
                <w:sz w:val="20"/>
                <w:szCs w:val="20"/>
                <w:color w:val="auto"/>
              </w:rPr>
            </w:pPr>
            <w:r>
              <w:rPr>
                <w:rFonts w:ascii="Arial" w:cs="Arial" w:eastAsia="Arial" w:hAnsi="Arial"/>
                <w:sz w:val="18"/>
                <w:szCs w:val="18"/>
                <w:b w:val="1"/>
                <w:bCs w:val="1"/>
                <w:color w:val="auto"/>
                <w:w w:val="90"/>
              </w:rPr>
              <w:t>Financial Information of Parent Company</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jc w:val="center"/>
              <w:ind w:left="752"/>
              <w:spacing w:after="0"/>
              <w:rPr>
                <w:sz w:val="20"/>
                <w:szCs w:val="20"/>
                <w:color w:val="auto"/>
              </w:rPr>
            </w:pPr>
            <w:r>
              <w:rPr>
                <w:rFonts w:ascii="Arial" w:cs="Arial" w:eastAsia="Arial" w:hAnsi="Arial"/>
                <w:sz w:val="18"/>
                <w:szCs w:val="18"/>
                <w:b w:val="1"/>
                <w:bCs w:val="1"/>
                <w:color w:val="auto"/>
                <w:w w:val="88"/>
              </w:rPr>
              <w:t>Statement of Operations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560" w:type="dxa"/>
            <w:vAlign w:val="bottom"/>
          </w:tcPr>
          <w:p>
            <w:pPr>
              <w:jc w:val="center"/>
              <w:ind w:left="752"/>
              <w:spacing w:after="0"/>
              <w:rPr>
                <w:sz w:val="20"/>
                <w:szCs w:val="20"/>
                <w:color w:val="auto"/>
              </w:rPr>
            </w:pPr>
            <w:r>
              <w:rPr>
                <w:rFonts w:ascii="Arial" w:cs="Arial" w:eastAsia="Arial" w:hAnsi="Arial"/>
                <w:sz w:val="18"/>
                <w:szCs w:val="18"/>
                <w:b w:val="1"/>
                <w:bCs w:val="1"/>
                <w:color w:val="auto"/>
                <w:w w:val="87"/>
              </w:rPr>
              <w:t>(In thousands)</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560" w:type="dxa"/>
            <w:vAlign w:val="bottom"/>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56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May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560" w:type="dxa"/>
            <w:vAlign w:val="bottom"/>
          </w:tcPr>
          <w:p>
            <w:pPr>
              <w:spacing w:after="0"/>
              <w:rPr>
                <w:sz w:val="21"/>
                <w:szCs w:val="21"/>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 of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marketing</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Interest expense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Income tax expense</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560" w:type="dxa"/>
            <w:vAlign w:val="bottom"/>
          </w:tcPr>
          <w:p>
            <w:pPr>
              <w:jc w:val="center"/>
              <w:ind w:left="732"/>
              <w:spacing w:after="0"/>
              <w:rPr>
                <w:sz w:val="20"/>
                <w:szCs w:val="20"/>
                <w:color w:val="auto"/>
              </w:rPr>
            </w:pPr>
            <w:r>
              <w:rPr>
                <w:rFonts w:ascii="Arial" w:cs="Arial" w:eastAsia="Arial" w:hAnsi="Arial"/>
                <w:sz w:val="18"/>
                <w:szCs w:val="18"/>
                <w:color w:val="auto"/>
                <w:w w:val="91"/>
              </w:rPr>
              <w:t>F-35</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500"/>
        <w:spacing w:after="0"/>
        <w:rPr>
          <w:sz w:val="20"/>
          <w:szCs w:val="20"/>
          <w:color w:val="auto"/>
        </w:rPr>
      </w:pPr>
      <w:r>
        <w:rPr>
          <w:rFonts w:ascii="Arial" w:cs="Arial" w:eastAsia="Arial" w:hAnsi="Arial"/>
          <w:sz w:val="16"/>
          <w:szCs w:val="16"/>
          <w:b w:val="1"/>
          <w:bCs w:val="1"/>
          <w:color w:val="auto"/>
        </w:rPr>
        <w:t>BEIJING NEW ORIENTAL EDUCATION &amp; TECHNOLOGY (GROUP) CO., LTD., (“New Oriental China”)</w:t>
      </w:r>
    </w:p>
    <w:p>
      <w:pPr>
        <w:spacing w:after="0" w:line="44"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Additional Information—Financial Statement Schedule 1</w:t>
      </w:r>
    </w:p>
    <w:p>
      <w:pPr>
        <w:spacing w:after="0" w:line="9"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These Financial Statements Have Been Prepared in Conformity with Accounting</w:t>
      </w:r>
    </w:p>
    <w:p>
      <w:pPr>
        <w:spacing w:after="0" w:line="9"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Principles Generally Accepted in the United States.</w:t>
      </w:r>
    </w:p>
    <w:p>
      <w:pPr>
        <w:spacing w:after="0" w:line="9"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Statement of Cashflows</w:t>
      </w:r>
    </w:p>
    <w:p>
      <w:pPr>
        <w:spacing w:after="0" w:line="9"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income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Loss on disposal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Share-based compensation expense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Equity in earnings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Amounts due from subsidiaries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Amounts due from subsidiaries (non-trade)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Amounts due to subsidiaries (non-trade)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 of property, plant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disposal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Investment in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due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issuance of restricted shares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 paid to shareholders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Income tax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Acquisition of property, plant and equipment in exchange for payable</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Dividend converted to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1"/>
          <w:szCs w:val="11"/>
          <w:b w:val="1"/>
          <w:bCs w:val="1"/>
          <w:color w:val="auto"/>
        </w:rPr>
        <w:t>Year ended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May 31,</w:t>
      </w:r>
    </w:p>
    <w:p>
      <w:pPr>
        <w:jc w:val="center"/>
        <w:ind w:right="100"/>
        <w:spacing w:after="0"/>
        <w:rPr>
          <w:sz w:val="20"/>
          <w:szCs w:val="20"/>
          <w:color w:val="auto"/>
        </w:rPr>
      </w:pP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46291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52,389</w:t>
      </w:r>
    </w:p>
    <w:p>
      <w:pPr>
        <w:spacing w:after="0" w:line="200" w:lineRule="exact"/>
        <w:rPr>
          <w:sz w:val="20"/>
          <w:szCs w:val="20"/>
          <w:color w:val="auto"/>
        </w:rPr>
      </w:pPr>
    </w:p>
    <w:p>
      <w:pPr>
        <w:spacing w:after="0" w:line="26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1,221</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16,816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(20,956)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(14,613)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(1,498)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106,719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(4,370)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90170</wp:posOffset>
            </wp:positionV>
            <wp:extent cx="46291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35,054</w:t>
      </w:r>
    </w:p>
    <w:p>
      <w:pPr>
        <w:spacing w:after="0" w:line="200" w:lineRule="exact"/>
        <w:rPr>
          <w:sz w:val="20"/>
          <w:szCs w:val="20"/>
          <w:color w:val="auto"/>
        </w:rPr>
      </w:pPr>
    </w:p>
    <w:p>
      <w:pPr>
        <w:spacing w:after="0" w:line="26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(134,583)</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75565</wp:posOffset>
            </wp:positionV>
            <wp:extent cx="46291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(131,937)</w:t>
      </w:r>
    </w:p>
    <w:p>
      <w:pPr>
        <w:spacing w:after="0" w:line="200" w:lineRule="exact"/>
        <w:rPr>
          <w:sz w:val="20"/>
          <w:szCs w:val="20"/>
          <w:color w:val="auto"/>
        </w:rPr>
      </w:pPr>
    </w:p>
    <w:p>
      <w:pPr>
        <w:spacing w:after="0" w:line="2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1,642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75565</wp:posOffset>
            </wp:positionV>
            <wp:extent cx="46291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(25,658)</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(122,541)</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148,665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90170</wp:posOffset>
            </wp:positionV>
            <wp:extent cx="46291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92075</wp:posOffset>
            </wp:positionV>
            <wp:extent cx="49276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77470</wp:posOffset>
            </wp:positionV>
            <wp:extent cx="49276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77470</wp:posOffset>
            </wp:positionV>
            <wp:extent cx="492760"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32,960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92075</wp:posOffset>
            </wp:positionV>
            <wp:extent cx="49276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77470</wp:posOffset>
            </wp:positionV>
            <wp:extent cx="49276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92075</wp:posOffset>
            </wp:positionV>
            <wp:extent cx="49276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940" w:space="720"/>
            <w:col w:w="740"/>
          </w:cols>
          <w:pgMar w:left="240" w:top="460"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00"/>
          </w:cols>
          <w:pgMar w:left="240" w:top="460" w:right="25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BEIJING NEW ORIENTAL EDUCATION &amp; TECHNOLOGY (GROUP) CO.,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Information—Financial Statement Schedule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These Financial Statements Have Been Prepared in Conformity with Accounting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Principles Generally Accepted in the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Registered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Paid in</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Retained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shareholders</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Earnings</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Equity</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RMB</w:t>
            </w: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RMB</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RMB</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1, 2003</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157,401</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180,332</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Increase of capital by dividend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4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(40,000)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shares to employees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Dividends</w:t>
            </w:r>
          </w:p>
        </w:tc>
        <w:tc>
          <w:tcPr>
            <w:tcW w:w="2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(27,300)</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(27,300)</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31,2004</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81,390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142,490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223,880</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900" w:type="dxa"/>
            <w:vAlign w:val="bottom"/>
            <w:gridSpan w:val="3"/>
          </w:tcPr>
          <w:p>
            <w:pPr>
              <w:ind w:left="1280"/>
              <w:spacing w:after="0"/>
              <w:rPr>
                <w:sz w:val="20"/>
                <w:szCs w:val="20"/>
                <w:color w:val="auto"/>
              </w:rPr>
            </w:pPr>
            <w:r>
              <w:rPr>
                <w:rFonts w:ascii="Arial" w:cs="Arial" w:eastAsia="Arial" w:hAnsi="Arial"/>
                <w:sz w:val="18"/>
                <w:szCs w:val="18"/>
                <w:color w:val="auto"/>
              </w:rPr>
              <w:t>F-37</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-325755</wp:posOffset>
            </wp:positionV>
            <wp:extent cx="1270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12700"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1270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38735"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Information—Financial Statement Schedule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These Financial Statements Have Been Prepared in Conformity with Accounting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Principles Generally Accepted in the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May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80" w:type="dxa"/>
            <w:vAlign w:val="bottom"/>
          </w:tcPr>
          <w:p>
            <w:pPr>
              <w:spacing w:after="0"/>
              <w:rPr>
                <w:sz w:val="22"/>
                <w:szCs w:val="22"/>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1"/>
                <w:szCs w:val="21"/>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Prepaid expense and other current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481,237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521,704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65,060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484,129</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522,069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Liabilities and shareholders’ equity</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Due to related parties</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w w:val="91"/>
              </w:rPr>
              <w:t>Series A convertible preferred shares (US$0.01 par value;11,111,111 shares authorized in 2005 and 2006; 11,111,111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and nil shares issued and outstanding in 2005 and 2006) (liquidation value US$22,500)</w:t>
            </w:r>
          </w:p>
        </w:tc>
        <w:tc>
          <w:tcPr>
            <w:tcW w:w="620" w:type="dxa"/>
            <w:vAlign w:val="bottom"/>
          </w:tcPr>
          <w:p>
            <w:pPr>
              <w:jc w:val="right"/>
              <w:spacing w:after="0"/>
              <w:rPr>
                <w:sz w:val="20"/>
                <w:szCs w:val="20"/>
                <w:color w:val="auto"/>
              </w:rPr>
            </w:pPr>
            <w:r>
              <w:rPr>
                <w:rFonts w:ascii="Arial" w:cs="Arial" w:eastAsia="Arial" w:hAnsi="Arial"/>
                <w:sz w:val="18"/>
                <w:szCs w:val="18"/>
                <w:color w:val="auto"/>
              </w:rPr>
              <w:t>920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920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Common shares (US$0.01 par value; 150,000,000 shares authorized in 2005 and 2006; 100,000,000 shares issued and</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in 2005 and 2006)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255,945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309,519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218,984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202,871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484,126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521,506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484,129</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522,069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880" w:type="dxa"/>
            <w:vAlign w:val="bottom"/>
          </w:tcPr>
          <w:p>
            <w:pPr>
              <w:ind w:left="5520"/>
              <w:spacing w:after="0"/>
              <w:rPr>
                <w:sz w:val="20"/>
                <w:szCs w:val="20"/>
                <w:color w:val="auto"/>
              </w:rPr>
            </w:pPr>
            <w:r>
              <w:rPr>
                <w:rFonts w:ascii="Arial" w:cs="Arial" w:eastAsia="Arial" w:hAnsi="Arial"/>
                <w:sz w:val="18"/>
                <w:szCs w:val="18"/>
                <w:color w:val="auto"/>
              </w:rPr>
              <w:t>F-38</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-3147695</wp:posOffset>
            </wp:positionV>
            <wp:extent cx="12700"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-3147695</wp:posOffset>
            </wp:positionV>
            <wp:extent cx="12700"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-3147695</wp:posOffset>
            </wp:positionV>
            <wp:extent cx="1270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-3147695</wp:posOffset>
            </wp:positionV>
            <wp:extent cx="38735"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-3147695</wp:posOffset>
            </wp:positionV>
            <wp:extent cx="12700"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-3147695</wp:posOffset>
            </wp:positionV>
            <wp:extent cx="21590"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-3147695</wp:posOffset>
            </wp:positionV>
            <wp:extent cx="38735"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-2152650</wp:posOffset>
            </wp:positionV>
            <wp:extent cx="12700"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-2152650</wp:posOffset>
            </wp:positionV>
            <wp:extent cx="12700"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-2152650</wp:posOffset>
            </wp:positionV>
            <wp:extent cx="12700"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-2152650</wp:posOffset>
            </wp:positionV>
            <wp:extent cx="38735" cy="298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-2152650</wp:posOffset>
            </wp:positionV>
            <wp:extent cx="12700"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-2152650</wp:posOffset>
            </wp:positionV>
            <wp:extent cx="21590"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-2152650</wp:posOffset>
            </wp:positionV>
            <wp:extent cx="38735"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12700"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12700"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-325755</wp:posOffset>
            </wp:positionV>
            <wp:extent cx="12700"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-325755</wp:posOffset>
            </wp:positionV>
            <wp:extent cx="638810"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3881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20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Year ended May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580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RMB</w:t>
            </w:r>
          </w:p>
        </w:tc>
        <w:tc>
          <w:tcPr>
            <w:tcW w:w="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608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(7,721)</w:t>
            </w:r>
          </w:p>
        </w:tc>
        <w:tc>
          <w:tcPr>
            <w:tcW w:w="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 (964)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6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(7,721)</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5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(7,721)</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5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140,754</w:t>
            </w:r>
          </w:p>
        </w:tc>
        <w:tc>
          <w:tcPr>
            <w:tcW w:w="2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57,018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141,974</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49,385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Income tax expense</w:t>
            </w:r>
          </w:p>
        </w:tc>
        <w:tc>
          <w:tcPr>
            <w:tcW w:w="52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141,974</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49,385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080" w:type="dxa"/>
            <w:vAlign w:val="bottom"/>
            <w:gridSpan w:val="3"/>
          </w:tcPr>
          <w:p>
            <w:pPr>
              <w:jc w:val="right"/>
              <w:ind w:right="4200"/>
              <w:spacing w:after="0"/>
              <w:rPr>
                <w:sz w:val="20"/>
                <w:szCs w:val="20"/>
                <w:color w:val="auto"/>
              </w:rPr>
            </w:pPr>
            <w:r>
              <w:rPr>
                <w:rFonts w:ascii="Arial" w:cs="Arial" w:eastAsia="Arial" w:hAnsi="Arial"/>
                <w:sz w:val="18"/>
                <w:szCs w:val="18"/>
                <w:color w:val="auto"/>
              </w:rPr>
              <w:t>F-39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8735"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12700"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38735"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12700"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-325755</wp:posOffset>
            </wp:positionV>
            <wp:extent cx="21590"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NEW ORIENTAL EDUCATION &amp; TECHNOLOGY GROUP INC. Parent Company Statements of Shareholders Equity and Comprehensive Income (In thousands, except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60" w:type="dxa"/>
            <w:vAlign w:val="bottom"/>
            <w:gridSpan w:val="4"/>
          </w:tcPr>
          <w:p>
            <w:pPr>
              <w:ind w:left="120"/>
              <w:spacing w:after="0"/>
              <w:rPr>
                <w:sz w:val="20"/>
                <w:szCs w:val="20"/>
                <w:color w:val="auto"/>
              </w:rPr>
            </w:pPr>
            <w:r>
              <w:rPr>
                <w:rFonts w:ascii="Arial" w:cs="Arial" w:eastAsia="Arial" w:hAnsi="Arial"/>
                <w:sz w:val="14"/>
                <w:szCs w:val="14"/>
                <w:b w:val="1"/>
                <w:bCs w:val="1"/>
                <w:color w:val="auto"/>
              </w:rPr>
              <w:t>Series A convertible</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88"/>
              </w:rPr>
              <w:t>Accumulated</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6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preferred shares</w:t>
            </w:r>
          </w:p>
        </w:tc>
        <w:tc>
          <w:tcPr>
            <w:tcW w:w="180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Common shares</w:t>
            </w: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660" w:type="dxa"/>
            <w:vAlign w:val="bottom"/>
            <w:gridSpan w:val="4"/>
            <w:vMerge w:val="continue"/>
          </w:tcPr>
          <w:p>
            <w:pPr>
              <w:spacing w:after="0"/>
              <w:rPr>
                <w:sz w:val="8"/>
                <w:szCs w:val="8"/>
                <w:color w:val="auto"/>
              </w:rPr>
            </w:pPr>
          </w:p>
        </w:tc>
        <w:tc>
          <w:tcPr>
            <w:tcW w:w="1800" w:type="dxa"/>
            <w:vAlign w:val="bottom"/>
            <w:gridSpan w:val="6"/>
            <w:vMerge w:val="continue"/>
          </w:tcPr>
          <w:p>
            <w:pPr>
              <w:spacing w:after="0"/>
              <w:rPr>
                <w:sz w:val="8"/>
                <w:szCs w:val="8"/>
                <w:color w:val="auto"/>
              </w:rPr>
            </w:pPr>
          </w:p>
        </w:tc>
        <w:tc>
          <w:tcPr>
            <w:tcW w:w="10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gridSpan w:val="3"/>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other</w:t>
            </w:r>
          </w:p>
        </w:tc>
        <w:tc>
          <w:tcPr>
            <w:tcW w:w="114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paid-in</w:t>
            </w:r>
          </w:p>
        </w:tc>
        <w:tc>
          <w:tcPr>
            <w:tcW w:w="10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Retained</w:t>
            </w:r>
          </w:p>
        </w:tc>
        <w:tc>
          <w:tcPr>
            <w:tcW w:w="1220" w:type="dxa"/>
            <w:vAlign w:val="bottom"/>
            <w:gridSpan w:val="4"/>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14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shareholders’</w:t>
            </w:r>
          </w:p>
        </w:tc>
        <w:tc>
          <w:tcPr>
            <w:tcW w:w="9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Amount</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capital</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earnings</w:t>
            </w:r>
          </w:p>
        </w:tc>
        <w:tc>
          <w:tcPr>
            <w:tcW w:w="260" w:type="dxa"/>
            <w:vAlign w:val="bottom"/>
          </w:tcPr>
          <w:p>
            <w:pPr>
              <w:spacing w:after="0"/>
              <w:rPr>
                <w:sz w:val="15"/>
                <w:szCs w:val="15"/>
                <w:color w:val="auto"/>
              </w:rPr>
            </w:pPr>
          </w:p>
        </w:tc>
        <w:tc>
          <w:tcPr>
            <w:tcW w:w="9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79"/>
              </w:rPr>
              <w:t>Loss</w:t>
            </w: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equity</w:t>
            </w:r>
          </w:p>
        </w:tc>
        <w:tc>
          <w:tcPr>
            <w:tcW w:w="24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RMB</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RMB</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RMB</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21"/>
                <w:szCs w:val="21"/>
                <w:color w:val="auto"/>
              </w:rPr>
            </w:pPr>
          </w:p>
        </w:tc>
        <w:tc>
          <w:tcPr>
            <w:tcW w:w="9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RMB</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RMB</w:t>
            </w:r>
          </w:p>
        </w:tc>
        <w:tc>
          <w:tcPr>
            <w:tcW w:w="240" w:type="dxa"/>
            <w:vAlign w:val="bottom"/>
          </w:tcPr>
          <w:p>
            <w:pPr>
              <w:spacing w:after="0"/>
              <w:rPr>
                <w:sz w:val="21"/>
                <w:szCs w:val="21"/>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June 1, 2004</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81,390</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142,490</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223,880</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tcPr>
          <w:p>
            <w:pPr>
              <w:spacing w:after="0" w:line="138" w:lineRule="exact"/>
              <w:rPr>
                <w:sz w:val="20"/>
                <w:szCs w:val="20"/>
                <w:color w:val="auto"/>
              </w:rPr>
            </w:pPr>
            <w:r>
              <w:rPr>
                <w:rFonts w:ascii="Arial" w:cs="Arial" w:eastAsia="Arial" w:hAnsi="Arial"/>
                <w:sz w:val="14"/>
                <w:szCs w:val="14"/>
                <w:color w:val="auto"/>
              </w:rPr>
              <w:t>Issuance of 100,000,000 shares of</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200"/>
              <w:spacing w:after="0" w:line="159" w:lineRule="exact"/>
              <w:rPr>
                <w:sz w:val="20"/>
                <w:szCs w:val="20"/>
                <w:color w:val="auto"/>
              </w:rPr>
            </w:pPr>
            <w:r>
              <w:rPr>
                <w:rFonts w:ascii="Arial" w:cs="Arial" w:eastAsia="Arial" w:hAnsi="Arial"/>
                <w:sz w:val="14"/>
                <w:szCs w:val="14"/>
                <w:color w:val="auto"/>
              </w:rPr>
              <w:t>common shares</w:t>
            </w:r>
          </w:p>
        </w:tc>
        <w:tc>
          <w:tcPr>
            <w:tcW w:w="8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8,277</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(7,449)</w:t>
            </w:r>
          </w:p>
        </w:tc>
        <w:tc>
          <w:tcPr>
            <w:tcW w:w="10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6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828</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Issuance of 11,111,111 shares of Series A</w:t>
            </w: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convertible preferred shares</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11,111,111</w:t>
            </w: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920</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182,004</w:t>
            </w:r>
          </w:p>
        </w:tc>
        <w:tc>
          <w:tcPr>
            <w:tcW w:w="3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182,924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(65,480)</w:t>
            </w:r>
          </w:p>
        </w:tc>
        <w:tc>
          <w:tcPr>
            <w:tcW w:w="260" w:type="dxa"/>
            <w:vAlign w:val="bottom"/>
          </w:tcPr>
          <w:p>
            <w:pPr>
              <w:spacing w:after="0"/>
              <w:rPr>
                <w:sz w:val="12"/>
                <w:szCs w:val="12"/>
                <w:color w:val="auto"/>
              </w:rPr>
            </w:pP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(65,480)</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May 31, 2005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255,945</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218,984</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484,126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Issuance of restricted shares to employees</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72,976</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72,976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tcPr>
          <w:p>
            <w:pPr>
              <w:spacing w:after="0" w:line="138" w:lineRule="exact"/>
              <w:rPr>
                <w:sz w:val="20"/>
                <w:szCs w:val="20"/>
                <w:color w:val="auto"/>
              </w:rPr>
            </w:pPr>
            <w:r>
              <w:rPr>
                <w:rFonts w:ascii="Arial" w:cs="Arial" w:eastAsia="Arial" w:hAnsi="Arial"/>
                <w:sz w:val="14"/>
                <w:szCs w:val="14"/>
                <w:color w:val="auto"/>
              </w:rPr>
              <w:t>Share-based compensation expense for</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200"/>
              <w:spacing w:after="0" w:line="159" w:lineRule="exact"/>
              <w:rPr>
                <w:sz w:val="20"/>
                <w:szCs w:val="20"/>
                <w:color w:val="auto"/>
              </w:rPr>
            </w:pPr>
            <w:r>
              <w:rPr>
                <w:rFonts w:ascii="Arial" w:cs="Arial" w:eastAsia="Arial" w:hAnsi="Arial"/>
                <w:sz w:val="14"/>
                <w:szCs w:val="14"/>
                <w:color w:val="auto"/>
              </w:rPr>
              <w:t>employee share options</w:t>
            </w:r>
          </w:p>
        </w:tc>
        <w:tc>
          <w:tcPr>
            <w:tcW w:w="8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gridSpan w:val="4"/>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6,124</w:t>
            </w:r>
          </w:p>
        </w:tc>
        <w:tc>
          <w:tcPr>
            <w:tcW w:w="340" w:type="dxa"/>
            <w:vAlign w:val="bottom"/>
          </w:tcPr>
          <w:p>
            <w:pPr>
              <w:spacing w:after="0"/>
              <w:rPr>
                <w:sz w:val="13"/>
                <w:szCs w:val="13"/>
                <w:color w:val="auto"/>
              </w:rPr>
            </w:pPr>
          </w:p>
        </w:tc>
        <w:tc>
          <w:tcPr>
            <w:tcW w:w="10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6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6,124</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(65,498)</w:t>
            </w: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(65,498)</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Dividend in kind</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(25,526)</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(25,526)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14"/>
                <w:szCs w:val="14"/>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May 31, 2006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309,519</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202,871</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(81)</w:t>
            </w: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521,506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US$ 114</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86"/>
              </w:rPr>
              <w:t>US$1,032</w:t>
            </w:r>
          </w:p>
        </w:tc>
        <w:tc>
          <w:tcPr>
            <w:tcW w:w="102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1"/>
              </w:rPr>
              <w:t>US$ 38,599</w:t>
            </w:r>
          </w:p>
        </w:tc>
        <w:tc>
          <w:tcPr>
            <w:tcW w:w="104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1"/>
              </w:rPr>
              <w:t>US$ 25,300</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US$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7"/>
              </w:rPr>
              <w:t>US$   65,035</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0"/>
              </w:rPr>
              <w:t>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-1350010</wp:posOffset>
            </wp:positionV>
            <wp:extent cx="12700" cy="298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-1350010</wp:posOffset>
            </wp:positionV>
            <wp:extent cx="21590"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-1350010</wp:posOffset>
            </wp:positionV>
            <wp:extent cx="38735"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-286385</wp:posOffset>
            </wp:positionV>
            <wp:extent cx="1270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-286385</wp:posOffset>
            </wp:positionV>
            <wp:extent cx="12700"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-286385</wp:posOffset>
            </wp:positionV>
            <wp:extent cx="12700"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-286385</wp:posOffset>
            </wp:positionV>
            <wp:extent cx="12700"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-286385</wp:posOffset>
            </wp:positionV>
            <wp:extent cx="21590"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-286385</wp:posOffset>
            </wp:positionV>
            <wp:extent cx="12700"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-286385</wp:posOffset>
            </wp:positionV>
            <wp:extent cx="12700"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-286385</wp:posOffset>
            </wp:positionV>
            <wp:extent cx="12700"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-286385</wp:posOffset>
            </wp:positionV>
            <wp:extent cx="12700"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-286385</wp:posOffset>
            </wp:positionV>
            <wp:extent cx="21590"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-286385</wp:posOffset>
            </wp:positionV>
            <wp:extent cx="12700"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-286385</wp:posOffset>
            </wp:positionV>
            <wp:extent cx="21590"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-286385</wp:posOffset>
            </wp:positionV>
            <wp:extent cx="38735"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-286385</wp:posOffset>
            </wp:positionV>
            <wp:extent cx="12700"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-286385</wp:posOffset>
            </wp:positionV>
            <wp:extent cx="21590"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-286385</wp:posOffset>
            </wp:positionV>
            <wp:extent cx="38735"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-286385</wp:posOffset>
            </wp:positionV>
            <wp:extent cx="12700"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-286385</wp:posOffset>
            </wp:positionV>
            <wp:extent cx="21590"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-286385</wp:posOffset>
            </wp:positionV>
            <wp:extent cx="38735" cy="298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-286385</wp:posOffset>
            </wp:positionV>
            <wp:extent cx="12700"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-286385</wp:posOffset>
            </wp:positionV>
            <wp:extent cx="21590"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-286385</wp:posOffset>
            </wp:positionV>
            <wp:extent cx="38735"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-286385</wp:posOffset>
            </wp:positionV>
            <wp:extent cx="12700" cy="298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-286385</wp:posOffset>
            </wp:positionV>
            <wp:extent cx="21590" cy="298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-286385</wp:posOffset>
            </wp:positionV>
            <wp:extent cx="38735"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-29210</wp:posOffset>
            </wp:positionV>
            <wp:extent cx="12700"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-29210</wp:posOffset>
            </wp:positionV>
            <wp:extent cx="12700"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-29210</wp:posOffset>
            </wp:positionV>
            <wp:extent cx="21590"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-29210</wp:posOffset>
            </wp:positionV>
            <wp:extent cx="12700"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21590"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21590"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38735" cy="298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21590" cy="298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38735" cy="298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21590" cy="298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38735"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780" w:type="dxa"/>
            <w:vAlign w:val="bottom"/>
            <w:gridSpan w:val="6"/>
          </w:tcPr>
          <w:p>
            <w:pPr>
              <w:ind w:left="600"/>
              <w:spacing w:after="0"/>
              <w:rPr>
                <w:sz w:val="20"/>
                <w:szCs w:val="20"/>
                <w:color w:val="auto"/>
              </w:rPr>
            </w:pPr>
            <w:r>
              <w:rPr>
                <w:rFonts w:ascii="Arial" w:cs="Arial" w:eastAsia="Arial" w:hAnsi="Arial"/>
                <w:sz w:val="14"/>
                <w:szCs w:val="14"/>
                <w:b w:val="1"/>
                <w:bCs w:val="1"/>
                <w:color w:val="auto"/>
                <w:w w:val="89"/>
              </w:rPr>
              <w:t>Year ended May 31,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412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860" w:type="dxa"/>
            <w:vAlign w:val="bottom"/>
            <w:gridSpan w:val="4"/>
          </w:tcPr>
          <w:p>
            <w:pPr>
              <w:ind w:left="120"/>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141,974</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49,385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$ 6,158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4400" w:type="dxa"/>
            <w:vAlign w:val="bottom"/>
            <w:gridSpan w:val="3"/>
          </w:tcPr>
          <w:p>
            <w:pPr>
              <w:jc w:val="right"/>
              <w:ind w:right="220"/>
              <w:spacing w:after="0"/>
              <w:rPr>
                <w:sz w:val="20"/>
                <w:szCs w:val="20"/>
                <w:color w:val="auto"/>
              </w:rPr>
            </w:pPr>
            <w:r>
              <w:rPr>
                <w:rFonts w:ascii="Arial" w:cs="Arial" w:eastAsia="Arial" w:hAnsi="Arial"/>
                <w:sz w:val="18"/>
                <w:szCs w:val="18"/>
                <w:color w:val="auto"/>
              </w:rPr>
              <w:t>(140,754)</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(57,018)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Cash used in operating activities:</w:t>
            </w:r>
          </w:p>
        </w:tc>
        <w:tc>
          <w:tcPr>
            <w:tcW w:w="3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4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Changes in operating assets and liabilities Amount due to related parties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Investment in subsidiaries</w:t>
            </w:r>
          </w:p>
        </w:tc>
        <w:tc>
          <w:tcPr>
            <w:tcW w:w="4400" w:type="dxa"/>
            <w:vAlign w:val="bottom"/>
            <w:gridSpan w:val="3"/>
          </w:tcPr>
          <w:p>
            <w:pPr>
              <w:jc w:val="right"/>
              <w:ind w:right="220"/>
              <w:spacing w:after="0"/>
              <w:rPr>
                <w:sz w:val="20"/>
                <w:szCs w:val="20"/>
                <w:color w:val="auto"/>
              </w:rPr>
            </w:pPr>
            <w:r>
              <w:rPr>
                <w:rFonts w:ascii="Arial" w:cs="Arial" w:eastAsia="Arial" w:hAnsi="Arial"/>
                <w:sz w:val="18"/>
                <w:szCs w:val="18"/>
                <w:color w:val="auto"/>
              </w:rPr>
              <w:t>(182,083)</w:t>
            </w: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received</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4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(182,083)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Proceeds from issuance of common shares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828</w:t>
            </w:r>
          </w:p>
        </w:tc>
        <w:tc>
          <w:tcPr>
            <w:tcW w:w="280" w:type="dxa"/>
            <w:vAlign w:val="bottom"/>
          </w:tcPr>
          <w:p>
            <w:pPr>
              <w:spacing w:after="0"/>
              <w:rPr>
                <w:sz w:val="18"/>
                <w:szCs w:val="18"/>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paid to shareholders</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(36,771)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(4,586)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w w:val="96"/>
              </w:rPr>
              <w:t>Net proceeds from issuance of Series A convertible preferred shares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182,924</w:t>
            </w:r>
          </w:p>
        </w:tc>
        <w:tc>
          <w:tcPr>
            <w:tcW w:w="280" w:type="dxa"/>
            <w:vAlign w:val="bottom"/>
          </w:tcPr>
          <w:p>
            <w:pPr>
              <w:spacing w:after="0"/>
              <w:rPr>
                <w:sz w:val="19"/>
                <w:szCs w:val="19"/>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183,752</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(36,771)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(4,586)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Effect of rate exchange</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4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2,892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400" w:type="dxa"/>
            <w:vAlign w:val="bottom"/>
            <w:gridSpan w:val="3"/>
          </w:tcPr>
          <w:p>
            <w:pPr>
              <w:jc w:val="right"/>
              <w:ind w:right="4040"/>
              <w:spacing w:after="0"/>
              <w:rPr>
                <w:sz w:val="20"/>
                <w:szCs w:val="20"/>
                <w:color w:val="auto"/>
              </w:rPr>
            </w:pPr>
            <w:r>
              <w:rPr>
                <w:rFonts w:ascii="Arial" w:cs="Arial" w:eastAsia="Arial" w:hAnsi="Arial"/>
                <w:sz w:val="18"/>
                <w:szCs w:val="18"/>
                <w:color w:val="auto"/>
                <w:w w:val="91"/>
              </w:rPr>
              <w:t>F-41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-926465</wp:posOffset>
            </wp:positionV>
            <wp:extent cx="12700" cy="298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-926465</wp:posOffset>
            </wp:positionV>
            <wp:extent cx="38735" cy="298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-926465</wp:posOffset>
            </wp:positionV>
            <wp:extent cx="12700" cy="298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-926465</wp:posOffset>
            </wp:positionV>
            <wp:extent cx="38735" cy="298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-926465</wp:posOffset>
            </wp:positionV>
            <wp:extent cx="12700" cy="298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-926465</wp:posOffset>
            </wp:positionV>
            <wp:extent cx="21590" cy="298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-926465</wp:posOffset>
            </wp:positionV>
            <wp:extent cx="38735" cy="298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-626110</wp:posOffset>
            </wp:positionV>
            <wp:extent cx="12700" cy="298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-626110</wp:posOffset>
            </wp:positionV>
            <wp:extent cx="38735" cy="298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-626110</wp:posOffset>
            </wp:positionV>
            <wp:extent cx="12700" cy="298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-626110</wp:posOffset>
            </wp:positionV>
            <wp:extent cx="38735" cy="298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-626110</wp:posOffset>
            </wp:positionV>
            <wp:extent cx="12700" cy="298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-626110</wp:posOffset>
            </wp:positionV>
            <wp:extent cx="21590" cy="298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-626110</wp:posOffset>
            </wp:positionV>
            <wp:extent cx="38735" cy="298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12700" cy="298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38735" cy="298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12700" cy="298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-325755</wp:posOffset>
            </wp:positionV>
            <wp:extent cx="38735" cy="298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12700" cy="298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21590" cy="298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220345</wp:posOffset>
            </wp:positionV>
            <wp:extent cx="6140450" cy="884999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140450" cy="88499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Through and including , 2006 (the 25th day after the date of this prospectus), all dealers that effect transactions in these securities, whether or not participating in this offering, may be required to deliver a prospectus. This is in addition to a dealer’s obligation to deliver a prospectus when acting as an underwriter and with respect to unsold allotments or subscriptions.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7,500,000 American Depositary Shares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Representing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30,000,000 Common Shares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New Oriental Education &amp; Technology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192405</wp:posOffset>
            </wp:positionV>
            <wp:extent cx="110617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1555750</wp:posOffset>
            </wp:positionV>
            <wp:extent cx="110617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363855</wp:posOffset>
            </wp:positionV>
            <wp:extent cx="2452370" cy="10293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45237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PROSPECTUS</w:t>
      </w:r>
    </w:p>
    <w:p>
      <w:pPr>
        <w:spacing w:after="0" w:line="139" w:lineRule="exact"/>
        <w:rPr>
          <w:sz w:val="20"/>
          <w:szCs w:val="20"/>
          <w:color w:val="auto"/>
        </w:rPr>
      </w:pPr>
    </w:p>
    <w:p>
      <w:pPr>
        <w:ind w:left="6020"/>
        <w:spacing w:after="0"/>
        <w:rPr>
          <w:sz w:val="20"/>
          <w:szCs w:val="20"/>
          <w:color w:val="auto"/>
        </w:rPr>
      </w:pPr>
      <w:r>
        <w:rPr>
          <w:rFonts w:ascii="Arial" w:cs="Arial" w:eastAsia="Arial" w:hAnsi="Arial"/>
          <w:sz w:val="22"/>
          <w:szCs w:val="22"/>
          <w:b w:val="1"/>
          <w:bCs w:val="1"/>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177165</wp:posOffset>
            </wp:positionV>
            <wp:extent cx="110617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tabs>
          <w:tab w:leader="none" w:pos="8080" w:val="left"/>
        </w:tabs>
        <w:rPr>
          <w:sz w:val="20"/>
          <w:szCs w:val="20"/>
          <w:color w:val="auto"/>
        </w:rPr>
      </w:pPr>
      <w:r>
        <w:rPr>
          <w:rFonts w:ascii="Arial" w:cs="Arial" w:eastAsia="Arial" w:hAnsi="Arial"/>
          <w:sz w:val="24"/>
          <w:szCs w:val="24"/>
          <w:b w:val="1"/>
          <w:bCs w:val="1"/>
          <w:color w:val="auto"/>
        </w:rPr>
        <w:t>Credit Suisse</w:t>
      </w:r>
      <w:r>
        <w:rPr>
          <w:sz w:val="20"/>
          <w:szCs w:val="20"/>
          <w:color w:val="auto"/>
        </w:rPr>
        <w:tab/>
      </w:r>
      <w:r>
        <w:rPr>
          <w:rFonts w:ascii="Arial" w:cs="Arial" w:eastAsia="Arial" w:hAnsi="Arial"/>
          <w:sz w:val="24"/>
          <w:szCs w:val="24"/>
          <w:b w:val="1"/>
          <w:bCs w:val="1"/>
          <w:color w:val="auto"/>
        </w:rPr>
        <w:t>Goldman Sachs (Asia) L.L.C.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Representatives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160655</wp:posOffset>
            </wp:positionV>
            <wp:extent cx="110617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Piper Jaffray</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 Our Articles of Association provide for indemnification of officers and directors for losses, damages, costs and expenses incurred in their capacities as such, except through their own willful neglect or default.</w:t>
      </w:r>
    </w:p>
    <w:p>
      <w:pPr>
        <w:spacing w:after="0" w:line="130" w:lineRule="exact"/>
        <w:rPr>
          <w:sz w:val="20"/>
          <w:szCs w:val="20"/>
          <w:color w:val="auto"/>
        </w:rPr>
      </w:pPr>
    </w:p>
    <w:p>
      <w:pPr>
        <w:jc w:val="both"/>
        <w:ind w:right="520" w:firstLine="456"/>
        <w:spacing w:after="0" w:line="370" w:lineRule="auto"/>
        <w:rPr>
          <w:sz w:val="20"/>
          <w:szCs w:val="20"/>
          <w:color w:val="auto"/>
        </w:rPr>
      </w:pPr>
      <w:r>
        <w:rPr>
          <w:rFonts w:ascii="Arial" w:cs="Arial" w:eastAsia="Arial" w:hAnsi="Arial"/>
          <w:sz w:val="15"/>
          <w:szCs w:val="15"/>
          <w:color w:val="auto"/>
        </w:rPr>
        <w:t>Pursuant to the form of indemnification agreements filed as Exhibit 10.2 to this Registration Statement, we will agree to indemnify our directors and officers against certain liabilities and expenses incurred by such persons in connection with claims made by reason of their being such a director or officer.</w:t>
      </w:r>
    </w:p>
    <w:p>
      <w:pPr>
        <w:spacing w:after="0" w:line="4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form of Underwriting Agreement to be filed as Exhibit 1.1 to this Registration Statement will also provide for indemnification of us and our officers and directors.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therefore unenforceable.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past three years, we have issued the following securities (including options to acquire our common shares). We believe that each of the following issuances was exempt from registration under the Securities Act in reliance on Regulation S under the Securities Act or pursuant to Section 4(2) of the Securities Act regarding transactions not involving a public offering.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Underwriting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2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Date of Sale or</w:t>
            </w: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Discount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ind w:left="1520"/>
              <w:spacing w:after="0"/>
              <w:rPr>
                <w:sz w:val="20"/>
                <w:szCs w:val="20"/>
                <w:color w:val="auto"/>
              </w:rPr>
            </w:pPr>
            <w:r>
              <w:rPr>
                <w:rFonts w:ascii="Arial" w:cs="Arial" w:eastAsia="Arial" w:hAnsi="Arial"/>
                <w:sz w:val="14"/>
                <w:szCs w:val="14"/>
                <w:b w:val="1"/>
                <w:bCs w:val="1"/>
                <w:color w:val="auto"/>
              </w:rPr>
              <w:t>Purchaser</w:t>
            </w:r>
          </w:p>
        </w:tc>
        <w:tc>
          <w:tcPr>
            <w:tcW w:w="680" w:type="dxa"/>
            <w:vAlign w:val="bottom"/>
          </w:tcPr>
          <w:p>
            <w:pPr>
              <w:spacing w:after="0"/>
              <w:rPr>
                <w:sz w:val="15"/>
                <w:szCs w:val="15"/>
                <w:color w:val="auto"/>
              </w:rPr>
            </w:pPr>
          </w:p>
        </w:tc>
        <w:tc>
          <w:tcPr>
            <w:tcW w:w="2520" w:type="dxa"/>
            <w:vAlign w:val="bottom"/>
            <w:gridSpan w:val="2"/>
          </w:tcPr>
          <w:p>
            <w:pPr>
              <w:ind w:left="680"/>
              <w:spacing w:after="0"/>
              <w:rPr>
                <w:sz w:val="20"/>
                <w:szCs w:val="20"/>
                <w:color w:val="auto"/>
              </w:rPr>
            </w:pPr>
            <w:r>
              <w:rPr>
                <w:rFonts w:ascii="Arial" w:cs="Arial" w:eastAsia="Arial" w:hAnsi="Arial"/>
                <w:sz w:val="14"/>
                <w:szCs w:val="14"/>
                <w:b w:val="1"/>
                <w:bCs w:val="1"/>
                <w:color w:val="auto"/>
              </w:rPr>
              <w:t>Issuance</w:t>
            </w:r>
          </w:p>
        </w:tc>
        <w:tc>
          <w:tcPr>
            <w:tcW w:w="19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5"/>
              </w:rPr>
              <w:t>Number of Securities</w:t>
            </w:r>
          </w:p>
        </w:tc>
        <w:tc>
          <w:tcPr>
            <w:tcW w:w="18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6"/>
              </w:rPr>
              <w:t>Consideration (US$)</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Commission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Time Promise Investments Limited</w:t>
            </w:r>
          </w:p>
        </w:tc>
        <w:tc>
          <w:tcPr>
            <w:tcW w:w="6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2,010,000</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Central Plains Limited</w:t>
            </w:r>
          </w:p>
        </w:tc>
        <w:tc>
          <w:tcPr>
            <w:tcW w:w="680" w:type="dxa"/>
            <w:vAlign w:val="bottom"/>
          </w:tcPr>
          <w:p>
            <w:pPr>
              <w:spacing w:after="0"/>
              <w:rPr>
                <w:sz w:val="18"/>
                <w:szCs w:val="18"/>
                <w:color w:val="auto"/>
              </w:rPr>
            </w:pPr>
          </w:p>
        </w:tc>
        <w:tc>
          <w:tcPr>
            <w:tcW w:w="2520" w:type="dxa"/>
            <w:vAlign w:val="bottom"/>
            <w:gridSpan w:val="2"/>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510,000</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China Central Limited</w:t>
            </w:r>
          </w:p>
        </w:tc>
        <w:tc>
          <w:tcPr>
            <w:tcW w:w="6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710,000</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Tigerstep Developments Limited</w:t>
            </w:r>
          </w:p>
        </w:tc>
        <w:tc>
          <w:tcPr>
            <w:tcW w:w="680" w:type="dxa"/>
            <w:vAlign w:val="bottom"/>
          </w:tcPr>
          <w:p>
            <w:pPr>
              <w:spacing w:after="0"/>
              <w:rPr>
                <w:sz w:val="18"/>
                <w:szCs w:val="18"/>
                <w:color w:val="auto"/>
              </w:rPr>
            </w:pPr>
          </w:p>
        </w:tc>
        <w:tc>
          <w:tcPr>
            <w:tcW w:w="2520" w:type="dxa"/>
            <w:vAlign w:val="bottom"/>
            <w:gridSpan w:val="2"/>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45,000,000</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Capital River Group Limited</w:t>
            </w:r>
          </w:p>
        </w:tc>
        <w:tc>
          <w:tcPr>
            <w:tcW w:w="6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294,386</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Success Tycoon Limited</w:t>
            </w:r>
          </w:p>
        </w:tc>
        <w:tc>
          <w:tcPr>
            <w:tcW w:w="680" w:type="dxa"/>
            <w:vAlign w:val="bottom"/>
          </w:tcPr>
          <w:p>
            <w:pPr>
              <w:spacing w:after="0"/>
              <w:rPr>
                <w:sz w:val="18"/>
                <w:szCs w:val="18"/>
                <w:color w:val="auto"/>
              </w:rPr>
            </w:pPr>
          </w:p>
        </w:tc>
        <w:tc>
          <w:tcPr>
            <w:tcW w:w="2520" w:type="dxa"/>
            <w:vAlign w:val="bottom"/>
            <w:gridSpan w:val="2"/>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371,643</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Peak Idea International Limited</w:t>
            </w:r>
          </w:p>
        </w:tc>
        <w:tc>
          <w:tcPr>
            <w:tcW w:w="6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368,696</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Forthright Trading Limited</w:t>
            </w:r>
          </w:p>
        </w:tc>
        <w:tc>
          <w:tcPr>
            <w:tcW w:w="680" w:type="dxa"/>
            <w:vAlign w:val="bottom"/>
          </w:tcPr>
          <w:p>
            <w:pPr>
              <w:spacing w:after="0"/>
              <w:rPr>
                <w:sz w:val="18"/>
                <w:szCs w:val="18"/>
                <w:color w:val="auto"/>
              </w:rPr>
            </w:pPr>
          </w:p>
        </w:tc>
        <w:tc>
          <w:tcPr>
            <w:tcW w:w="2520" w:type="dxa"/>
            <w:vAlign w:val="bottom"/>
            <w:gridSpan w:val="2"/>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221,734</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Easebright International Limited</w:t>
            </w:r>
          </w:p>
        </w:tc>
        <w:tc>
          <w:tcPr>
            <w:tcW w:w="6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147,700</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Time Promise Investments Limited</w:t>
            </w:r>
          </w:p>
        </w:tc>
        <w:tc>
          <w:tcPr>
            <w:tcW w:w="680" w:type="dxa"/>
            <w:vAlign w:val="bottom"/>
          </w:tcPr>
          <w:p>
            <w:pPr>
              <w:spacing w:after="0"/>
              <w:rPr>
                <w:sz w:val="18"/>
                <w:szCs w:val="18"/>
                <w:color w:val="auto"/>
              </w:rPr>
            </w:pPr>
          </w:p>
        </w:tc>
        <w:tc>
          <w:tcPr>
            <w:tcW w:w="2520" w:type="dxa"/>
            <w:vAlign w:val="bottom"/>
            <w:gridSpan w:val="2"/>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74,034</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Strong Great International Limited</w:t>
            </w:r>
          </w:p>
        </w:tc>
        <w:tc>
          <w:tcPr>
            <w:tcW w:w="6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76,244</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Fame Gain Investments Limited</w:t>
            </w:r>
          </w:p>
        </w:tc>
        <w:tc>
          <w:tcPr>
            <w:tcW w:w="680" w:type="dxa"/>
            <w:vAlign w:val="bottom"/>
          </w:tcPr>
          <w:p>
            <w:pPr>
              <w:spacing w:after="0"/>
              <w:rPr>
                <w:sz w:val="18"/>
                <w:szCs w:val="18"/>
                <w:color w:val="auto"/>
              </w:rPr>
            </w:pPr>
          </w:p>
        </w:tc>
        <w:tc>
          <w:tcPr>
            <w:tcW w:w="2520" w:type="dxa"/>
            <w:vAlign w:val="bottom"/>
            <w:gridSpan w:val="2"/>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114,366</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Challenge Now Limited</w:t>
            </w:r>
          </w:p>
        </w:tc>
        <w:tc>
          <w:tcPr>
            <w:tcW w:w="6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18,785</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Central Plains Limited</w:t>
            </w:r>
          </w:p>
        </w:tc>
        <w:tc>
          <w:tcPr>
            <w:tcW w:w="680" w:type="dxa"/>
            <w:vAlign w:val="bottom"/>
          </w:tcPr>
          <w:p>
            <w:pPr>
              <w:spacing w:after="0"/>
              <w:rPr>
                <w:sz w:val="18"/>
                <w:szCs w:val="18"/>
                <w:color w:val="auto"/>
              </w:rPr>
            </w:pPr>
          </w:p>
        </w:tc>
        <w:tc>
          <w:tcPr>
            <w:tcW w:w="2520" w:type="dxa"/>
            <w:vAlign w:val="bottom"/>
            <w:gridSpan w:val="2"/>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18,785</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China Central Limited</w:t>
            </w:r>
          </w:p>
        </w:tc>
        <w:tc>
          <w:tcPr>
            <w:tcW w:w="6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December 24, 2004</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26,150</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Par Value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Underwriting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Discount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ind w:left="1580"/>
              <w:spacing w:after="0"/>
              <w:rPr>
                <w:sz w:val="20"/>
                <w:szCs w:val="20"/>
                <w:color w:val="auto"/>
              </w:rPr>
            </w:pPr>
            <w:r>
              <w:rPr>
                <w:rFonts w:ascii="Arial" w:cs="Arial" w:eastAsia="Arial" w:hAnsi="Arial"/>
                <w:sz w:val="14"/>
                <w:szCs w:val="14"/>
                <w:b w:val="1"/>
                <w:bCs w:val="1"/>
                <w:color w:val="auto"/>
              </w:rPr>
              <w:t>Purchaser</w:t>
            </w:r>
          </w:p>
        </w:tc>
        <w:tc>
          <w:tcPr>
            <w:tcW w:w="440" w:type="dxa"/>
            <w:vAlign w:val="bottom"/>
          </w:tcPr>
          <w:p>
            <w:pPr>
              <w:spacing w:after="0"/>
              <w:rPr>
                <w:sz w:val="15"/>
                <w:szCs w:val="15"/>
                <w:color w:val="auto"/>
              </w:rPr>
            </w:pPr>
          </w:p>
        </w:tc>
        <w:tc>
          <w:tcPr>
            <w:tcW w:w="2840" w:type="dxa"/>
            <w:vAlign w:val="bottom"/>
            <w:gridSpan w:val="2"/>
          </w:tcPr>
          <w:p>
            <w:pPr>
              <w:ind w:left="520"/>
              <w:spacing w:after="0"/>
              <w:rPr>
                <w:sz w:val="20"/>
                <w:szCs w:val="20"/>
                <w:color w:val="auto"/>
              </w:rPr>
            </w:pPr>
            <w:r>
              <w:rPr>
                <w:rFonts w:ascii="Arial" w:cs="Arial" w:eastAsia="Arial" w:hAnsi="Arial"/>
                <w:sz w:val="14"/>
                <w:szCs w:val="14"/>
                <w:b w:val="1"/>
                <w:bCs w:val="1"/>
                <w:color w:val="auto"/>
              </w:rPr>
              <w:t>Date of Sale or Issuance</w:t>
            </w:r>
          </w:p>
        </w:tc>
        <w:tc>
          <w:tcPr>
            <w:tcW w:w="188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 Securities</w:t>
            </w: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Consideration (US$)</w:t>
            </w: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Commission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87"/>
              </w:rPr>
              <w:t>Tiger Technology Private Investment Partners II, L.P.</w:t>
            </w:r>
          </w:p>
        </w:tc>
        <w:tc>
          <w:tcPr>
            <w:tcW w:w="4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December 24, 2004</w:t>
            </w:r>
          </w:p>
        </w:tc>
        <w:tc>
          <w:tcPr>
            <w:tcW w:w="1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11,111,111</w:t>
            </w: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22,499,999.78</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9"/>
              </w:rPr>
              <w:t>Entities affiliated with Tiger Technology Private</w:t>
            </w: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Investment Partners II, L.P.</w:t>
            </w:r>
          </w:p>
        </w:tc>
        <w:tc>
          <w:tcPr>
            <w:tcW w:w="440" w:type="dxa"/>
            <w:vAlign w:val="bottom"/>
          </w:tcPr>
          <w:p>
            <w:pPr>
              <w:spacing w:after="0"/>
              <w:rPr>
                <w:sz w:val="19"/>
                <w:szCs w:val="19"/>
                <w:color w:val="auto"/>
              </w:rPr>
            </w:pPr>
          </w:p>
        </w:tc>
        <w:tc>
          <w:tcPr>
            <w:tcW w:w="2840" w:type="dxa"/>
            <w:vAlign w:val="bottom"/>
            <w:gridSpan w:val="2"/>
          </w:tcPr>
          <w:p>
            <w:pPr>
              <w:jc w:val="right"/>
              <w:ind w:right="440"/>
              <w:spacing w:after="0"/>
              <w:rPr>
                <w:sz w:val="20"/>
                <w:szCs w:val="20"/>
                <w:color w:val="auto"/>
              </w:rPr>
            </w:pPr>
            <w:r>
              <w:rPr>
                <w:rFonts w:ascii="Arial" w:cs="Arial" w:eastAsia="Arial" w:hAnsi="Arial"/>
                <w:sz w:val="18"/>
                <w:szCs w:val="18"/>
                <w:color w:val="auto"/>
              </w:rPr>
              <w:t>December 24, 2004</w:t>
            </w:r>
          </w:p>
        </w:tc>
        <w:tc>
          <w:tcPr>
            <w:tcW w:w="1440" w:type="dxa"/>
            <w:vAlign w:val="bottom"/>
          </w:tcPr>
          <w:p>
            <w:pPr>
              <w:jc w:val="right"/>
              <w:spacing w:after="0"/>
              <w:rPr>
                <w:sz w:val="20"/>
                <w:szCs w:val="20"/>
                <w:color w:val="auto"/>
              </w:rPr>
            </w:pPr>
            <w:r>
              <w:rPr>
                <w:rFonts w:ascii="Arial" w:cs="Arial" w:eastAsia="Arial" w:hAnsi="Arial"/>
                <w:sz w:val="18"/>
                <w:szCs w:val="18"/>
                <w:color w:val="auto"/>
              </w:rPr>
              <w:t>5,184,164</w:t>
            </w:r>
          </w:p>
        </w:tc>
        <w:tc>
          <w:tcPr>
            <w:tcW w:w="440" w:type="dxa"/>
            <w:vAlign w:val="bottom"/>
          </w:tcPr>
          <w:p>
            <w:pPr>
              <w:spacing w:after="0"/>
              <w:rPr>
                <w:sz w:val="19"/>
                <w:szCs w:val="19"/>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9,391,631.50</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9"/>
              </w:rPr>
              <w:t>Entities affiliated with Tiger Technology Private</w:t>
            </w:r>
          </w:p>
        </w:tc>
        <w:tc>
          <w:tcPr>
            <w:tcW w:w="4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Partners II, L.P.</w:t>
            </w:r>
          </w:p>
        </w:tc>
        <w:tc>
          <w:tcPr>
            <w:tcW w:w="4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May 25, 2005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4,743,064</w:t>
            </w:r>
          </w:p>
        </w:tc>
        <w:tc>
          <w:tcPr>
            <w:tcW w:w="4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9,182,571.90</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Capital River Group Limited</w:t>
            </w:r>
          </w:p>
        </w:tc>
        <w:tc>
          <w:tcPr>
            <w:tcW w:w="440" w:type="dxa"/>
            <w:vAlign w:val="bottom"/>
          </w:tcPr>
          <w:p>
            <w:pPr>
              <w:spacing w:after="0"/>
              <w:rPr>
                <w:sz w:val="18"/>
                <w:szCs w:val="18"/>
                <w:color w:val="auto"/>
              </w:rPr>
            </w:pPr>
          </w:p>
        </w:tc>
        <w:tc>
          <w:tcPr>
            <w:tcW w:w="2840" w:type="dxa"/>
            <w:vAlign w:val="bottom"/>
            <w:gridSpan w:val="2"/>
          </w:tcPr>
          <w:p>
            <w:pPr>
              <w:jc w:val="right"/>
              <w:ind w:right="440"/>
              <w:spacing w:after="0"/>
              <w:rPr>
                <w:sz w:val="20"/>
                <w:szCs w:val="20"/>
                <w:color w:val="auto"/>
              </w:rPr>
            </w:pPr>
            <w:r>
              <w:rPr>
                <w:rFonts w:ascii="Arial" w:cs="Arial" w:eastAsia="Arial" w:hAnsi="Arial"/>
                <w:sz w:val="18"/>
                <w:szCs w:val="18"/>
                <w:color w:val="auto"/>
              </w:rPr>
              <w:t>December 24, 2004</w:t>
            </w:r>
          </w:p>
        </w:tc>
        <w:tc>
          <w:tcPr>
            <w:tcW w:w="1440" w:type="dxa"/>
            <w:vAlign w:val="bottom"/>
          </w:tcPr>
          <w:p>
            <w:pPr>
              <w:jc w:val="right"/>
              <w:spacing w:after="0"/>
              <w:rPr>
                <w:sz w:val="20"/>
                <w:szCs w:val="20"/>
                <w:color w:val="auto"/>
              </w:rPr>
            </w:pPr>
            <w:r>
              <w:rPr>
                <w:rFonts w:ascii="Arial" w:cs="Arial" w:eastAsia="Arial" w:hAnsi="Arial"/>
                <w:sz w:val="18"/>
                <w:szCs w:val="18"/>
                <w:color w:val="auto"/>
              </w:rPr>
              <w:t>7,380,836</w:t>
            </w:r>
          </w:p>
        </w:tc>
        <w:tc>
          <w:tcPr>
            <w:tcW w:w="44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Par Value</w:t>
            </w:r>
          </w:p>
        </w:tc>
        <w:tc>
          <w:tcPr>
            <w:tcW w:w="840" w:type="dxa"/>
            <w:vAlign w:val="bottom"/>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Success Tycoon Limited</w:t>
            </w:r>
          </w:p>
        </w:tc>
        <w:tc>
          <w:tcPr>
            <w:tcW w:w="4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December 24, 2004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9,628,357</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Par Value</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Peak Idea International Limited</w:t>
            </w:r>
          </w:p>
        </w:tc>
        <w:tc>
          <w:tcPr>
            <w:tcW w:w="440" w:type="dxa"/>
            <w:vAlign w:val="bottom"/>
          </w:tcPr>
          <w:p>
            <w:pPr>
              <w:spacing w:after="0"/>
              <w:rPr>
                <w:sz w:val="18"/>
                <w:szCs w:val="18"/>
                <w:color w:val="auto"/>
              </w:rPr>
            </w:pPr>
          </w:p>
        </w:tc>
        <w:tc>
          <w:tcPr>
            <w:tcW w:w="2840" w:type="dxa"/>
            <w:vAlign w:val="bottom"/>
            <w:gridSpan w:val="2"/>
          </w:tcPr>
          <w:p>
            <w:pPr>
              <w:jc w:val="right"/>
              <w:ind w:right="440"/>
              <w:spacing w:after="0"/>
              <w:rPr>
                <w:sz w:val="20"/>
                <w:szCs w:val="20"/>
                <w:color w:val="auto"/>
              </w:rPr>
            </w:pPr>
            <w:r>
              <w:rPr>
                <w:rFonts w:ascii="Arial" w:cs="Arial" w:eastAsia="Arial" w:hAnsi="Arial"/>
                <w:sz w:val="18"/>
                <w:szCs w:val="18"/>
                <w:color w:val="auto"/>
              </w:rPr>
              <w:t>December 24, 2004</w:t>
            </w:r>
          </w:p>
        </w:tc>
        <w:tc>
          <w:tcPr>
            <w:tcW w:w="1440" w:type="dxa"/>
            <w:vAlign w:val="bottom"/>
          </w:tcPr>
          <w:p>
            <w:pPr>
              <w:jc w:val="right"/>
              <w:spacing w:after="0"/>
              <w:rPr>
                <w:sz w:val="20"/>
                <w:szCs w:val="20"/>
                <w:color w:val="auto"/>
              </w:rPr>
            </w:pPr>
            <w:r>
              <w:rPr>
                <w:rFonts w:ascii="Arial" w:cs="Arial" w:eastAsia="Arial" w:hAnsi="Arial"/>
                <w:sz w:val="18"/>
                <w:szCs w:val="18"/>
                <w:color w:val="auto"/>
              </w:rPr>
              <w:t>9,010,000</w:t>
            </w:r>
          </w:p>
        </w:tc>
        <w:tc>
          <w:tcPr>
            <w:tcW w:w="44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Par Value</w:t>
            </w:r>
          </w:p>
        </w:tc>
        <w:tc>
          <w:tcPr>
            <w:tcW w:w="840" w:type="dxa"/>
            <w:vAlign w:val="bottom"/>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Forthright Trading Limited</w:t>
            </w:r>
          </w:p>
        </w:tc>
        <w:tc>
          <w:tcPr>
            <w:tcW w:w="4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December 24, 2004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Par Value</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Easebright International Limited</w:t>
            </w:r>
          </w:p>
        </w:tc>
        <w:tc>
          <w:tcPr>
            <w:tcW w:w="440" w:type="dxa"/>
            <w:vAlign w:val="bottom"/>
          </w:tcPr>
          <w:p>
            <w:pPr>
              <w:spacing w:after="0"/>
              <w:rPr>
                <w:sz w:val="18"/>
                <w:szCs w:val="18"/>
                <w:color w:val="auto"/>
              </w:rPr>
            </w:pPr>
          </w:p>
        </w:tc>
        <w:tc>
          <w:tcPr>
            <w:tcW w:w="2840" w:type="dxa"/>
            <w:vAlign w:val="bottom"/>
            <w:gridSpan w:val="2"/>
          </w:tcPr>
          <w:p>
            <w:pPr>
              <w:jc w:val="right"/>
              <w:ind w:right="440"/>
              <w:spacing w:after="0"/>
              <w:rPr>
                <w:sz w:val="20"/>
                <w:szCs w:val="20"/>
                <w:color w:val="auto"/>
              </w:rPr>
            </w:pPr>
            <w:r>
              <w:rPr>
                <w:rFonts w:ascii="Arial" w:cs="Arial" w:eastAsia="Arial" w:hAnsi="Arial"/>
                <w:sz w:val="18"/>
                <w:szCs w:val="18"/>
                <w:color w:val="auto"/>
              </w:rPr>
              <w:t>December 24, 2004</w:t>
            </w:r>
          </w:p>
        </w:tc>
        <w:tc>
          <w:tcPr>
            <w:tcW w:w="1440" w:type="dxa"/>
            <w:vAlign w:val="bottom"/>
          </w:tcPr>
          <w:p>
            <w:pPr>
              <w:jc w:val="right"/>
              <w:spacing w:after="0"/>
              <w:rPr>
                <w:sz w:val="20"/>
                <w:szCs w:val="20"/>
                <w:color w:val="auto"/>
              </w:rPr>
            </w:pPr>
            <w:r>
              <w:rPr>
                <w:rFonts w:ascii="Arial" w:cs="Arial" w:eastAsia="Arial" w:hAnsi="Arial"/>
                <w:sz w:val="18"/>
                <w:szCs w:val="18"/>
                <w:color w:val="auto"/>
              </w:rPr>
              <w:t>3,802,300</w:t>
            </w:r>
          </w:p>
        </w:tc>
        <w:tc>
          <w:tcPr>
            <w:tcW w:w="44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Par Value</w:t>
            </w:r>
          </w:p>
        </w:tc>
        <w:tc>
          <w:tcPr>
            <w:tcW w:w="840" w:type="dxa"/>
            <w:vAlign w:val="bottom"/>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Strong Great International Limited</w:t>
            </w:r>
          </w:p>
        </w:tc>
        <w:tc>
          <w:tcPr>
            <w:tcW w:w="4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December 24, 2004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1,973,756</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Par Value</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Fame Gain Investments Limited</w:t>
            </w:r>
          </w:p>
        </w:tc>
        <w:tc>
          <w:tcPr>
            <w:tcW w:w="440" w:type="dxa"/>
            <w:vAlign w:val="bottom"/>
          </w:tcPr>
          <w:p>
            <w:pPr>
              <w:spacing w:after="0"/>
              <w:rPr>
                <w:sz w:val="18"/>
                <w:szCs w:val="18"/>
                <w:color w:val="auto"/>
              </w:rPr>
            </w:pPr>
          </w:p>
        </w:tc>
        <w:tc>
          <w:tcPr>
            <w:tcW w:w="2840" w:type="dxa"/>
            <w:vAlign w:val="bottom"/>
            <w:gridSpan w:val="2"/>
          </w:tcPr>
          <w:p>
            <w:pPr>
              <w:jc w:val="right"/>
              <w:ind w:right="440"/>
              <w:spacing w:after="0"/>
              <w:rPr>
                <w:sz w:val="20"/>
                <w:szCs w:val="20"/>
                <w:color w:val="auto"/>
              </w:rPr>
            </w:pPr>
            <w:r>
              <w:rPr>
                <w:rFonts w:ascii="Arial" w:cs="Arial" w:eastAsia="Arial" w:hAnsi="Arial"/>
                <w:sz w:val="18"/>
                <w:szCs w:val="18"/>
                <w:color w:val="auto"/>
              </w:rPr>
              <w:t>December 24, 2004</w:t>
            </w:r>
          </w:p>
        </w:tc>
        <w:tc>
          <w:tcPr>
            <w:tcW w:w="1440" w:type="dxa"/>
            <w:vAlign w:val="bottom"/>
          </w:tcPr>
          <w:p>
            <w:pPr>
              <w:jc w:val="right"/>
              <w:spacing w:after="0"/>
              <w:rPr>
                <w:sz w:val="20"/>
                <w:szCs w:val="20"/>
                <w:color w:val="auto"/>
              </w:rPr>
            </w:pPr>
            <w:r>
              <w:rPr>
                <w:rFonts w:ascii="Arial" w:cs="Arial" w:eastAsia="Arial" w:hAnsi="Arial"/>
                <w:sz w:val="18"/>
                <w:szCs w:val="18"/>
                <w:color w:val="auto"/>
              </w:rPr>
              <w:t>2,505,000</w:t>
            </w:r>
          </w:p>
        </w:tc>
        <w:tc>
          <w:tcPr>
            <w:tcW w:w="44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Par Value</w:t>
            </w:r>
          </w:p>
        </w:tc>
        <w:tc>
          <w:tcPr>
            <w:tcW w:w="840" w:type="dxa"/>
            <w:vAlign w:val="bottom"/>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Challenge Now Limited</w:t>
            </w:r>
          </w:p>
        </w:tc>
        <w:tc>
          <w:tcPr>
            <w:tcW w:w="4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December 24, 2004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Par Value</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Employees and Directors</w:t>
            </w:r>
          </w:p>
        </w:tc>
        <w:tc>
          <w:tcPr>
            <w:tcW w:w="440" w:type="dxa"/>
            <w:vAlign w:val="bottom"/>
          </w:tcPr>
          <w:p>
            <w:pPr>
              <w:spacing w:after="0"/>
              <w:rPr>
                <w:sz w:val="18"/>
                <w:szCs w:val="18"/>
                <w:color w:val="auto"/>
              </w:rPr>
            </w:pPr>
          </w:p>
        </w:tc>
        <w:tc>
          <w:tcPr>
            <w:tcW w:w="284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From February 28, 2006 to July</w:t>
            </w: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Options to purchase</w:t>
            </w: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Exercise Price</w:t>
            </w:r>
          </w:p>
        </w:tc>
        <w:tc>
          <w:tcPr>
            <w:tcW w:w="840" w:type="dxa"/>
            <w:vAlign w:val="bottom"/>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280" w:type="dxa"/>
            <w:vAlign w:val="bottom"/>
            <w:gridSpan w:val="3"/>
          </w:tcPr>
          <w:p>
            <w:pPr>
              <w:jc w:val="right"/>
              <w:ind w:right="440"/>
              <w:spacing w:after="0"/>
              <w:rPr>
                <w:sz w:val="20"/>
                <w:szCs w:val="20"/>
                <w:color w:val="auto"/>
              </w:rPr>
            </w:pPr>
            <w:r>
              <w:rPr>
                <w:rFonts w:ascii="Arial" w:cs="Arial" w:eastAsia="Arial" w:hAnsi="Arial"/>
                <w:sz w:val="18"/>
                <w:szCs w:val="18"/>
                <w:color w:val="auto"/>
              </w:rPr>
              <w:t>21, 2006</w:t>
            </w: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a total of 8,719,000</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common shares</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(a)   Exhibits</w:t>
            </w:r>
          </w:p>
        </w:tc>
        <w:tc>
          <w:tcPr>
            <w:tcW w:w="18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365"/>
        </w:trPr>
        <w:tc>
          <w:tcPr>
            <w:tcW w:w="1660" w:type="dxa"/>
            <w:vAlign w:val="bottom"/>
          </w:tcPr>
          <w:p>
            <w:pPr>
              <w:ind w:left="260"/>
              <w:spacing w:after="0"/>
              <w:rPr>
                <w:sz w:val="20"/>
                <w:szCs w:val="20"/>
                <w:color w:val="auto"/>
              </w:rPr>
            </w:pPr>
            <w:r>
              <w:rPr>
                <w:rFonts w:ascii="Arial" w:cs="Arial" w:eastAsia="Arial" w:hAnsi="Arial"/>
                <w:sz w:val="18"/>
                <w:szCs w:val="18"/>
                <w:color w:val="auto"/>
              </w:rPr>
              <w:t>Exhibit Number</w:t>
            </w:r>
          </w:p>
        </w:tc>
        <w:tc>
          <w:tcPr>
            <w:tcW w:w="188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Description of Document</w:t>
            </w:r>
          </w:p>
        </w:tc>
      </w:tr>
      <w:tr>
        <w:trPr>
          <w:trHeight w:val="110"/>
        </w:trPr>
        <w:tc>
          <w:tcPr>
            <w:tcW w:w="166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4760" w:type="dxa"/>
            <w:vAlign w:val="bottom"/>
          </w:tcPr>
          <w:p>
            <w:pPr>
              <w:spacing w:after="0"/>
              <w:rPr>
                <w:sz w:val="9"/>
                <w:szCs w:val="9"/>
                <w:color w:val="auto"/>
              </w:rPr>
            </w:pPr>
          </w:p>
        </w:tc>
      </w:tr>
      <w:tr>
        <w:trPr>
          <w:trHeight w:val="532"/>
        </w:trPr>
        <w:tc>
          <w:tcPr>
            <w:tcW w:w="1660" w:type="dxa"/>
            <w:vAlign w:val="bottom"/>
          </w:tcPr>
          <w:p>
            <w:pPr>
              <w:spacing w:after="0"/>
              <w:rPr>
                <w:sz w:val="20"/>
                <w:szCs w:val="20"/>
                <w:color w:val="auto"/>
              </w:rPr>
            </w:pPr>
            <w:r>
              <w:rPr>
                <w:rFonts w:ascii="Arial" w:cs="Arial" w:eastAsia="Arial" w:hAnsi="Arial"/>
                <w:sz w:val="18"/>
                <w:szCs w:val="18"/>
                <w:color w:val="auto"/>
              </w:rPr>
              <w:t>1.1**</w:t>
            </w:r>
          </w:p>
        </w:tc>
        <w:tc>
          <w:tcPr>
            <w:tcW w:w="188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3.1*</w:t>
            </w:r>
          </w:p>
        </w:tc>
        <w:tc>
          <w:tcPr>
            <w:tcW w:w="188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Memorandum and Articles of Association of the Registrant, as currently in effect.</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3.2**</w:t>
            </w:r>
          </w:p>
        </w:tc>
        <w:tc>
          <w:tcPr>
            <w:tcW w:w="188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Amended and Restated Memorandum and Articles of Association of the Registrant.</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4.1**</w:t>
            </w:r>
          </w:p>
        </w:tc>
        <w:tc>
          <w:tcPr>
            <w:tcW w:w="188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Registrant’s Specimen American Depositary Receipt (included in Exhibit 4.3).</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4.2*</w:t>
            </w:r>
          </w:p>
        </w:tc>
        <w:tc>
          <w:tcPr>
            <w:tcW w:w="188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Registrant’s Specimen Certificate for Common shares.</w:t>
            </w:r>
          </w:p>
        </w:tc>
      </w:tr>
      <w:tr>
        <w:trPr>
          <w:trHeight w:val="426"/>
        </w:trPr>
        <w:tc>
          <w:tcPr>
            <w:tcW w:w="1660" w:type="dxa"/>
            <w:vAlign w:val="bottom"/>
          </w:tcPr>
          <w:p>
            <w:pPr>
              <w:spacing w:after="0"/>
              <w:rPr>
                <w:sz w:val="20"/>
                <w:szCs w:val="20"/>
                <w:color w:val="auto"/>
              </w:rPr>
            </w:pPr>
            <w:r>
              <w:rPr>
                <w:rFonts w:ascii="Arial" w:cs="Arial" w:eastAsia="Arial" w:hAnsi="Arial"/>
                <w:sz w:val="18"/>
                <w:szCs w:val="18"/>
                <w:color w:val="auto"/>
              </w:rPr>
              <w:t>4.3**</w:t>
            </w:r>
          </w:p>
        </w:tc>
        <w:tc>
          <w:tcPr>
            <w:tcW w:w="188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w w:val="88"/>
              </w:rPr>
              <w:t>Form of Deposit Agreement among the Registrant, the depositary and holders of the American Depositary</w:t>
            </w:r>
          </w:p>
        </w:tc>
      </w:tr>
      <w:tr>
        <w:trPr>
          <w:trHeight w:val="222"/>
        </w:trPr>
        <w:tc>
          <w:tcPr>
            <w:tcW w:w="1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Receipts.</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ind w:left="260"/>
              <w:spacing w:after="0"/>
              <w:rPr>
                <w:sz w:val="20"/>
                <w:szCs w:val="20"/>
                <w:color w:val="auto"/>
              </w:rPr>
            </w:pPr>
            <w:r>
              <w:rPr>
                <w:rFonts w:ascii="Arial" w:cs="Arial" w:eastAsia="Arial" w:hAnsi="Arial"/>
                <w:sz w:val="18"/>
                <w:szCs w:val="18"/>
                <w:color w:val="auto"/>
              </w:rPr>
              <w:t>Exhibit Number</w:t>
            </w:r>
          </w:p>
        </w:tc>
        <w:tc>
          <w:tcPr>
            <w:tcW w:w="180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Description of Document</w:t>
            </w:r>
          </w:p>
        </w:tc>
      </w:tr>
      <w:tr>
        <w:trPr>
          <w:trHeight w:val="110"/>
        </w:trPr>
        <w:tc>
          <w:tcPr>
            <w:tcW w:w="166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5140" w:type="dxa"/>
            <w:vAlign w:val="bottom"/>
          </w:tcPr>
          <w:p>
            <w:pPr>
              <w:spacing w:after="0"/>
              <w:rPr>
                <w:sz w:val="9"/>
                <w:szCs w:val="9"/>
                <w:color w:val="auto"/>
              </w:rPr>
            </w:pPr>
          </w:p>
        </w:tc>
      </w:tr>
      <w:tr>
        <w:trPr>
          <w:trHeight w:val="485"/>
        </w:trPr>
        <w:tc>
          <w:tcPr>
            <w:tcW w:w="1660" w:type="dxa"/>
            <w:vAlign w:val="bottom"/>
          </w:tcPr>
          <w:p>
            <w:pPr>
              <w:spacing w:after="0"/>
              <w:rPr>
                <w:sz w:val="20"/>
                <w:szCs w:val="20"/>
                <w:color w:val="auto"/>
              </w:rPr>
            </w:pPr>
            <w:r>
              <w:rPr>
                <w:rFonts w:ascii="Arial" w:cs="Arial" w:eastAsia="Arial" w:hAnsi="Arial"/>
                <w:sz w:val="18"/>
                <w:szCs w:val="18"/>
                <w:color w:val="auto"/>
              </w:rPr>
              <w:t>4.4*</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w w:val="93"/>
              </w:rPr>
              <w:t>Share Purchase Agreement, dated December 24, 2004, in respect of the issue of preferred shares of the</w:t>
            </w:r>
          </w:p>
        </w:tc>
      </w:tr>
      <w:tr>
        <w:trPr>
          <w:trHeight w:val="222"/>
        </w:trPr>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385"/>
        </w:trPr>
        <w:tc>
          <w:tcPr>
            <w:tcW w:w="1660" w:type="dxa"/>
            <w:vAlign w:val="bottom"/>
          </w:tcPr>
          <w:p>
            <w:pPr>
              <w:spacing w:after="0"/>
              <w:rPr>
                <w:sz w:val="20"/>
                <w:szCs w:val="20"/>
                <w:color w:val="auto"/>
              </w:rPr>
            </w:pPr>
            <w:r>
              <w:rPr>
                <w:rFonts w:ascii="Arial" w:cs="Arial" w:eastAsia="Arial" w:hAnsi="Arial"/>
                <w:sz w:val="18"/>
                <w:szCs w:val="18"/>
                <w:color w:val="auto"/>
              </w:rPr>
              <w:t>4.5*</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w w:val="87"/>
              </w:rPr>
              <w:t>First Amended and Restated Investors’ Rights Agreement, dated as of May 25, 2005, among the Registrant and</w:t>
            </w:r>
          </w:p>
        </w:tc>
      </w:tr>
      <w:tr>
        <w:trPr>
          <w:trHeight w:val="222"/>
        </w:trPr>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other parties therein.</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4.6*</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w w:val="98"/>
              </w:rPr>
              <w:t>Voting Agreement, dated as of December 24, 2004, among the Registrant and other parties therein.</w:t>
            </w:r>
          </w:p>
        </w:tc>
      </w:tr>
      <w:tr>
        <w:trPr>
          <w:trHeight w:val="385"/>
        </w:trPr>
        <w:tc>
          <w:tcPr>
            <w:tcW w:w="1660" w:type="dxa"/>
            <w:vAlign w:val="bottom"/>
          </w:tcPr>
          <w:p>
            <w:pPr>
              <w:spacing w:after="0"/>
              <w:rPr>
                <w:sz w:val="20"/>
                <w:szCs w:val="20"/>
                <w:color w:val="auto"/>
              </w:rPr>
            </w:pPr>
            <w:r>
              <w:rPr>
                <w:rFonts w:ascii="Arial" w:cs="Arial" w:eastAsia="Arial" w:hAnsi="Arial"/>
                <w:sz w:val="18"/>
                <w:szCs w:val="18"/>
                <w:color w:val="auto"/>
              </w:rPr>
              <w:t>4.7*</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w w:val="88"/>
              </w:rPr>
              <w:t>Right of First Refusal and Co-Sale Agreement, dated as of December 24, 2004 among the Registrant and other</w:t>
            </w:r>
          </w:p>
        </w:tc>
      </w:tr>
      <w:tr>
        <w:trPr>
          <w:trHeight w:val="222"/>
        </w:trPr>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parties therein.</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5.1*</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Opinion of Conyers Dill &amp; Pearman regarding the validity of the common shares being registered.</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8.1*</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Opinion of Latham &amp; Watkins LLP regarding certain U.S. tax matters.</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10.1*</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2006 Share Incentive Plan.</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10.2*</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Form of Indemnification Agreement with the Registrant’s directors.</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10.3*</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w w:val="93"/>
              </w:rPr>
              <w:t>Form of Employment Agreement between the Registrant and a Senior Executive Officer of the Registrant.</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21.1*</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23.1**</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w w:val="97"/>
              </w:rPr>
              <w:t>Consent of Deloitte Touche Tohmatsu CPA Ltd., an Independent Registered Public Accounting Firm.</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23.2*</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Consent of Conyers Dill &amp; Pearman.</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23.3*</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Consent of Latham &amp; Watkins LLP.</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23.4*</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Consent of Tian Yuan Law Firm (included in Exhibit 99.16).</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23.5*</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Consent of American Appraisal China Limited</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23.6*</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Consent of Robin Yanhong Li</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23.7*</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Consent of Denny Lee</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24.1*</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Powers of Attorney (included on signature page).</w:t>
            </w:r>
          </w:p>
        </w:tc>
      </w:tr>
      <w:tr>
        <w:trPr>
          <w:trHeight w:val="392"/>
        </w:trPr>
        <w:tc>
          <w:tcPr>
            <w:tcW w:w="1660" w:type="dxa"/>
            <w:vAlign w:val="bottom"/>
          </w:tcPr>
          <w:p>
            <w:pPr>
              <w:spacing w:after="0"/>
              <w:rPr>
                <w:sz w:val="20"/>
                <w:szCs w:val="20"/>
                <w:color w:val="auto"/>
              </w:rPr>
            </w:pPr>
            <w:r>
              <w:rPr>
                <w:rFonts w:ascii="Arial" w:cs="Arial" w:eastAsia="Arial" w:hAnsi="Arial"/>
                <w:sz w:val="18"/>
                <w:szCs w:val="18"/>
                <w:color w:val="auto"/>
              </w:rPr>
              <w:t>99.1*</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Code of Business Conduct and Ethics of the Registrant.</w:t>
            </w:r>
          </w:p>
        </w:tc>
      </w:tr>
      <w:tr>
        <w:trPr>
          <w:trHeight w:val="385"/>
        </w:trPr>
        <w:tc>
          <w:tcPr>
            <w:tcW w:w="1660" w:type="dxa"/>
            <w:vAlign w:val="bottom"/>
          </w:tcPr>
          <w:p>
            <w:pPr>
              <w:spacing w:after="0"/>
              <w:rPr>
                <w:sz w:val="20"/>
                <w:szCs w:val="20"/>
                <w:color w:val="auto"/>
              </w:rPr>
            </w:pPr>
            <w:r>
              <w:rPr>
                <w:rFonts w:ascii="Arial" w:cs="Arial" w:eastAsia="Arial" w:hAnsi="Arial"/>
                <w:sz w:val="18"/>
                <w:szCs w:val="18"/>
                <w:color w:val="auto"/>
              </w:rPr>
              <w:t>99.2*</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w w:val="94"/>
              </w:rPr>
              <w:t>English Translation of Form of Teaching Support Agreement between Beijing Decision and New Oriental</w:t>
            </w:r>
          </w:p>
        </w:tc>
      </w:tr>
      <w:tr>
        <w:trPr>
          <w:trHeight w:val="222"/>
        </w:trPr>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schools.</w:t>
            </w:r>
          </w:p>
        </w:tc>
      </w:tr>
      <w:tr>
        <w:trPr>
          <w:trHeight w:val="385"/>
        </w:trPr>
        <w:tc>
          <w:tcPr>
            <w:tcW w:w="1660" w:type="dxa"/>
            <w:vAlign w:val="bottom"/>
          </w:tcPr>
          <w:p>
            <w:pPr>
              <w:spacing w:after="0"/>
              <w:rPr>
                <w:sz w:val="20"/>
                <w:szCs w:val="20"/>
                <w:color w:val="auto"/>
              </w:rPr>
            </w:pPr>
            <w:r>
              <w:rPr>
                <w:rFonts w:ascii="Arial" w:cs="Arial" w:eastAsia="Arial" w:hAnsi="Arial"/>
                <w:sz w:val="18"/>
                <w:szCs w:val="18"/>
                <w:color w:val="auto"/>
              </w:rPr>
              <w:t>99.3*</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w w:val="90"/>
              </w:rPr>
              <w:t>English Translation of Form of Website Development and Use Agreement between Beijing Decision and New</w:t>
            </w:r>
          </w:p>
        </w:tc>
      </w:tr>
      <w:tr>
        <w:trPr>
          <w:trHeight w:val="222"/>
        </w:trPr>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Oriental schools.</w:t>
            </w:r>
          </w:p>
        </w:tc>
      </w:tr>
      <w:tr>
        <w:trPr>
          <w:trHeight w:val="385"/>
        </w:trPr>
        <w:tc>
          <w:tcPr>
            <w:tcW w:w="1660" w:type="dxa"/>
            <w:vAlign w:val="bottom"/>
          </w:tcPr>
          <w:p>
            <w:pPr>
              <w:spacing w:after="0"/>
              <w:rPr>
                <w:sz w:val="20"/>
                <w:szCs w:val="20"/>
                <w:color w:val="auto"/>
              </w:rPr>
            </w:pPr>
            <w:r>
              <w:rPr>
                <w:rFonts w:ascii="Arial" w:cs="Arial" w:eastAsia="Arial" w:hAnsi="Arial"/>
                <w:sz w:val="18"/>
                <w:szCs w:val="18"/>
                <w:color w:val="auto"/>
              </w:rPr>
              <w:t>99.4*</w:t>
            </w:r>
          </w:p>
        </w:tc>
        <w:tc>
          <w:tcPr>
            <w:tcW w:w="18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w w:val="93"/>
              </w:rPr>
              <w:t>English Translation of Form of New Enrollment System Development Service Agreement between Beijing</w:t>
            </w:r>
          </w:p>
        </w:tc>
      </w:tr>
      <w:tr>
        <w:trPr>
          <w:trHeight w:val="222"/>
        </w:trPr>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Decision and New Oriental schools.</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00"/>
          </w:cols>
          <w:pgMar w:left="240" w:top="460" w:right="3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20" w:type="dxa"/>
            <w:vAlign w:val="bottom"/>
          </w:tcPr>
          <w:p>
            <w:pPr>
              <w:ind w:left="100"/>
              <w:spacing w:after="0"/>
              <w:rPr>
                <w:sz w:val="20"/>
                <w:szCs w:val="20"/>
                <w:color w:val="auto"/>
              </w:rPr>
            </w:pPr>
            <w:r>
              <w:rPr>
                <w:rFonts w:ascii="Arial" w:cs="Arial" w:eastAsia="Arial" w:hAnsi="Arial"/>
                <w:sz w:val="18"/>
                <w:szCs w:val="18"/>
                <w:color w:val="auto"/>
                <w:w w:val="97"/>
              </w:rPr>
              <w:t>Exhibit Number</w:t>
            </w:r>
          </w:p>
        </w:tc>
        <w:tc>
          <w:tcPr>
            <w:tcW w:w="150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Description of Document</w:t>
            </w:r>
          </w:p>
        </w:tc>
      </w:tr>
      <w:tr>
        <w:trPr>
          <w:trHeight w:val="110"/>
        </w:trPr>
        <w:tc>
          <w:tcPr>
            <w:tcW w:w="132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6360" w:type="dxa"/>
            <w:vAlign w:val="bottom"/>
          </w:tcPr>
          <w:p>
            <w:pPr>
              <w:spacing w:after="0"/>
              <w:rPr>
                <w:sz w:val="9"/>
                <w:szCs w:val="9"/>
                <w:color w:val="auto"/>
              </w:rPr>
            </w:pPr>
          </w:p>
        </w:tc>
      </w:tr>
      <w:tr>
        <w:trPr>
          <w:trHeight w:val="532"/>
        </w:trPr>
        <w:tc>
          <w:tcPr>
            <w:tcW w:w="1320" w:type="dxa"/>
            <w:vAlign w:val="bottom"/>
          </w:tcPr>
          <w:p>
            <w:pPr>
              <w:spacing w:after="0"/>
              <w:rPr>
                <w:sz w:val="20"/>
                <w:szCs w:val="20"/>
                <w:color w:val="auto"/>
              </w:rPr>
            </w:pPr>
            <w:r>
              <w:rPr>
                <w:rFonts w:ascii="Arial" w:cs="Arial" w:eastAsia="Arial" w:hAnsi="Arial"/>
                <w:sz w:val="18"/>
                <w:szCs w:val="18"/>
                <w:color w:val="auto"/>
              </w:rPr>
              <w:t>99.5*</w:t>
            </w:r>
          </w:p>
        </w:tc>
        <w:tc>
          <w:tcPr>
            <w:tcW w:w="150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91"/>
              </w:rPr>
              <w:t>English Translation of Form of Trademark License Agreement between Beijing Hewstone and New Oriental schools.</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99.6*</w:t>
            </w:r>
          </w:p>
        </w:tc>
        <w:tc>
          <w:tcPr>
            <w:tcW w:w="150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92"/>
              </w:rPr>
              <w:t>English Translation of Trademark License Agreement dated May 13, 2006 between our company and New Oriental</w:t>
            </w:r>
          </w:p>
        </w:tc>
      </w:tr>
      <w:tr>
        <w:trPr>
          <w:trHeight w:val="222"/>
        </w:trPr>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99.7*</w:t>
            </w:r>
          </w:p>
        </w:tc>
        <w:tc>
          <w:tcPr>
            <w:tcW w:w="150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89"/>
              </w:rPr>
              <w:t>English Translation of Form of Exclusive Option Agreement among our company, New Oriental China and shareholders</w:t>
            </w:r>
          </w:p>
        </w:tc>
      </w:tr>
      <w:tr>
        <w:trPr>
          <w:trHeight w:val="222"/>
        </w:trPr>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of New Oriental China.</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99.8*</w:t>
            </w:r>
          </w:p>
        </w:tc>
        <w:tc>
          <w:tcPr>
            <w:tcW w:w="150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89"/>
              </w:rPr>
              <w:t>English Translation of Form of Equity Pledge Agreement among our company, New Oriental China and shareholders of</w:t>
            </w:r>
          </w:p>
        </w:tc>
      </w:tr>
      <w:tr>
        <w:trPr>
          <w:trHeight w:val="222"/>
        </w:trPr>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New Oriental China.</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99.9*</w:t>
            </w:r>
          </w:p>
        </w:tc>
        <w:tc>
          <w:tcPr>
            <w:tcW w:w="150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96"/>
              </w:rPr>
              <w:t>English Translation of Loan Agreement dated December 3, 2003 between Yangzhou New Oriental Education &amp;</w:t>
            </w:r>
          </w:p>
        </w:tc>
      </w:tr>
      <w:tr>
        <w:trPr>
          <w:trHeight w:val="222"/>
        </w:trPr>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Technology Co., Ltd. and the Bank of Communications Yangzhou Branch.</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99.10*</w:t>
            </w:r>
          </w:p>
        </w:tc>
        <w:tc>
          <w:tcPr>
            <w:tcW w:w="150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94"/>
              </w:rPr>
              <w:t>English Translation of Loan Agreement dated September 29, 2002 between Yangzhou New Oriental Education &amp;</w:t>
            </w:r>
          </w:p>
        </w:tc>
      </w:tr>
      <w:tr>
        <w:trPr>
          <w:trHeight w:val="222"/>
        </w:trPr>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Technology Co., Ltd. and the Bank of Communications Yangzhou Branch.</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99.11*</w:t>
            </w:r>
          </w:p>
        </w:tc>
        <w:tc>
          <w:tcPr>
            <w:tcW w:w="150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88"/>
              </w:rPr>
              <w:t>English Translation of Land Use Right Mortgage Agreement dated September 29, 2002 between Yangzhou New Oriental</w:t>
            </w:r>
          </w:p>
        </w:tc>
      </w:tr>
      <w:tr>
        <w:trPr>
          <w:trHeight w:val="222"/>
        </w:trPr>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Education &amp; Technology Co., Ltd. and the Bank of Communications Yangzhou Branch.</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99.12*</w:t>
            </w:r>
          </w:p>
        </w:tc>
        <w:tc>
          <w:tcPr>
            <w:tcW w:w="150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89"/>
              </w:rPr>
              <w:t>English Translation of Building Mortgage and Loan Agreement dated March 31, 2005 between New Oriental China and</w:t>
            </w:r>
          </w:p>
        </w:tc>
      </w:tr>
      <w:tr>
        <w:trPr>
          <w:trHeight w:val="222"/>
        </w:trPr>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China Minsheng Banking Corporation Ltd. Beijing Hepingli Branch.</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99.13*</w:t>
            </w:r>
          </w:p>
        </w:tc>
        <w:tc>
          <w:tcPr>
            <w:tcW w:w="150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94"/>
              </w:rPr>
              <w:t>English Translation of Credit Facility Agreement dated February 5, 2006 between Beijing Haidian District Private-</w:t>
            </w:r>
          </w:p>
        </w:tc>
      </w:tr>
      <w:tr>
        <w:trPr>
          <w:trHeight w:val="222"/>
        </w:trPr>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Funded New Oriental School and Bank of Beijing Co., Ltd. Haidian Road Sub-branch.</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99.14*</w:t>
            </w:r>
          </w:p>
        </w:tc>
        <w:tc>
          <w:tcPr>
            <w:tcW w:w="150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90"/>
              </w:rPr>
              <w:t>English Translation of Maximum Amount Guarantee Agreement dated February 5, 2006 between Michael Minhong Yu</w:t>
            </w:r>
          </w:p>
        </w:tc>
      </w:tr>
      <w:tr>
        <w:trPr>
          <w:trHeight w:val="222"/>
        </w:trPr>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and Bank of Beijing Co., Ltd. Haidian Road Sub-branch.</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99.15*</w:t>
            </w:r>
          </w:p>
        </w:tc>
        <w:tc>
          <w:tcPr>
            <w:tcW w:w="150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91"/>
              </w:rPr>
              <w:t>English Translation of Maximum Amount Guarantee Agreement dated February 5, 2006 between New Oriental China</w:t>
            </w:r>
          </w:p>
        </w:tc>
      </w:tr>
      <w:tr>
        <w:trPr>
          <w:trHeight w:val="222"/>
        </w:trPr>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and Bank of Beijing Co., Ltd. Haidian Road Sub-branch.</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99.16**</w:t>
            </w:r>
          </w:p>
        </w:tc>
        <w:tc>
          <w:tcPr>
            <w:tcW w:w="150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Opinion of Tianyuan Law Firm regarding certain PRC law 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96075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9800" w:firstLine="8"/>
        <w:spacing w:after="0" w:line="332" w:lineRule="auto"/>
        <w:tabs>
          <w:tab w:leader="none" w:pos="39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Filed previously. ** Filed herewith.</w:t>
      </w:r>
    </w:p>
    <w:p>
      <w:pPr>
        <w:spacing w:after="0" w:line="72"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or the Notes thereto.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6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72"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58" w:lineRule="exact"/>
        <w:rPr>
          <w:sz w:val="20"/>
          <w:szCs w:val="20"/>
          <w:color w:val="auto"/>
        </w:rPr>
      </w:pPr>
    </w:p>
    <w:p>
      <w:pPr>
        <w:jc w:val="both"/>
        <w:ind w:right="80" w:firstLine="464"/>
        <w:spacing w:after="0" w:line="259" w:lineRule="auto"/>
        <w:tabs>
          <w:tab w:leader="none" w:pos="7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Beijing, People’s Republic of China, on August 31, 2006.</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NEW ORIENTAL EDUCATION &amp; TECHNOLOGY</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GROUP INC.</w:t>
      </w:r>
    </w:p>
    <w:p>
      <w:pPr>
        <w:spacing w:after="0" w:line="1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/s/ Michael Minhong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Michael Minhong Yu</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Title: Chairman and Chief Executive Officer</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18" w:lineRule="exact"/>
        <w:rPr>
          <w:sz w:val="20"/>
          <w:szCs w:val="20"/>
          <w:color w:val="auto"/>
        </w:rPr>
      </w:pPr>
    </w:p>
    <w:p>
      <w:pPr>
        <w:ind w:left="1960"/>
        <w:spacing w:after="0"/>
        <w:tabs>
          <w:tab w:leader="none" w:pos="6640" w:val="left"/>
          <w:tab w:leader="none" w:pos="100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80010</wp:posOffset>
            </wp:positionV>
            <wp:extent cx="531495"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80010</wp:posOffset>
            </wp:positionV>
            <wp:extent cx="24892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80010</wp:posOffset>
            </wp:positionV>
            <wp:extent cx="25717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 Michael Minhong Yu</w:t>
            </w:r>
          </w:p>
        </w:tc>
        <w:tc>
          <w:tcPr>
            <w:tcW w:w="3900" w:type="dxa"/>
            <w:vAlign w:val="bottom"/>
          </w:tcPr>
          <w:p>
            <w:pPr>
              <w:ind w:left="240"/>
              <w:spacing w:after="0"/>
              <w:rPr>
                <w:sz w:val="20"/>
                <w:szCs w:val="20"/>
                <w:color w:val="auto"/>
              </w:rPr>
            </w:pPr>
            <w:r>
              <w:rPr>
                <w:rFonts w:ascii="Arial" w:cs="Arial" w:eastAsia="Arial" w:hAnsi="Arial"/>
                <w:sz w:val="18"/>
                <w:szCs w:val="18"/>
                <w:color w:val="auto"/>
              </w:rPr>
              <w:t>Chairman / Chief Executive Officer</w:t>
            </w:r>
          </w:p>
        </w:tc>
        <w:tc>
          <w:tcPr>
            <w:tcW w:w="2320" w:type="dxa"/>
            <w:vAlign w:val="bottom"/>
          </w:tcPr>
          <w:p>
            <w:pPr>
              <w:ind w:left="1160"/>
              <w:spacing w:after="0"/>
              <w:rPr>
                <w:sz w:val="20"/>
                <w:szCs w:val="20"/>
                <w:color w:val="auto"/>
              </w:rPr>
            </w:pPr>
            <w:r>
              <w:rPr>
                <w:rFonts w:ascii="Arial" w:cs="Arial" w:eastAsia="Arial" w:hAnsi="Arial"/>
                <w:sz w:val="18"/>
                <w:szCs w:val="18"/>
                <w:color w:val="auto"/>
                <w:w w:val="86"/>
              </w:rPr>
              <w:t>August 31, 2006</w:t>
            </w:r>
          </w:p>
        </w:tc>
        <w:tc>
          <w:tcPr>
            <w:tcW w:w="0" w:type="dxa"/>
            <w:vAlign w:val="bottom"/>
          </w:tcPr>
          <w:p>
            <w:pPr>
              <w:spacing w:after="0"/>
              <w:rPr>
                <w:sz w:val="1"/>
                <w:szCs w:val="1"/>
                <w:color w:val="auto"/>
              </w:rPr>
            </w:pPr>
          </w:p>
        </w:tc>
      </w:tr>
      <w:tr>
        <w:trPr>
          <w:trHeight w:val="116"/>
        </w:trPr>
        <w:tc>
          <w:tcPr>
            <w:tcW w:w="4580" w:type="dxa"/>
            <w:vAlign w:val="bottom"/>
            <w:tcBorders>
              <w:bottom w:val="single" w:sz="8" w:color="auto"/>
            </w:tcBorders>
          </w:tcPr>
          <w:p>
            <w:pPr>
              <w:spacing w:after="0"/>
              <w:rPr>
                <w:sz w:val="10"/>
                <w:szCs w:val="10"/>
                <w:color w:val="auto"/>
              </w:rPr>
            </w:pPr>
          </w:p>
        </w:tc>
        <w:tc>
          <w:tcPr>
            <w:tcW w:w="3900" w:type="dxa"/>
            <w:vAlign w:val="bottom"/>
            <w:vMerge w:val="restart"/>
          </w:tcPr>
          <w:p>
            <w:pPr>
              <w:ind w:left="240"/>
              <w:spacing w:after="0"/>
              <w:rPr>
                <w:sz w:val="20"/>
                <w:szCs w:val="20"/>
                <w:color w:val="auto"/>
              </w:rPr>
            </w:pPr>
            <w:r>
              <w:rPr>
                <w:rFonts w:ascii="Arial" w:cs="Arial" w:eastAsia="Arial" w:hAnsi="Arial"/>
                <w:sz w:val="18"/>
                <w:szCs w:val="18"/>
                <w:color w:val="auto"/>
              </w:rPr>
              <w:t>(principal executive officer)</w:t>
            </w: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580" w:type="dxa"/>
            <w:vAlign w:val="bottom"/>
            <w:vMerge w:val="restart"/>
          </w:tcPr>
          <w:p>
            <w:pPr>
              <w:spacing w:after="0"/>
              <w:rPr>
                <w:sz w:val="20"/>
                <w:szCs w:val="20"/>
                <w:color w:val="auto"/>
              </w:rPr>
            </w:pPr>
            <w:r>
              <w:rPr>
                <w:rFonts w:ascii="Arial" w:cs="Arial" w:eastAsia="Arial" w:hAnsi="Arial"/>
                <w:sz w:val="18"/>
                <w:szCs w:val="18"/>
                <w:color w:val="auto"/>
              </w:rPr>
              <w:t>Name: Michael Minhong Yu</w:t>
            </w:r>
          </w:p>
        </w:tc>
        <w:tc>
          <w:tcPr>
            <w:tcW w:w="390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80" w:type="dxa"/>
            <w:vAlign w:val="bottom"/>
            <w:vMerge w:val="continue"/>
          </w:tcPr>
          <w:p>
            <w:pPr>
              <w:spacing w:after="0"/>
              <w:rPr>
                <w:sz w:val="19"/>
                <w:szCs w:val="19"/>
                <w:color w:val="auto"/>
              </w:rPr>
            </w:pPr>
          </w:p>
        </w:tc>
        <w:tc>
          <w:tcPr>
            <w:tcW w:w="39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80" w:type="dxa"/>
            <w:vAlign w:val="bottom"/>
          </w:tcPr>
          <w:p>
            <w:pPr>
              <w:spacing w:after="0"/>
              <w:rPr>
                <w:sz w:val="20"/>
                <w:szCs w:val="20"/>
                <w:color w:val="auto"/>
              </w:rPr>
            </w:pPr>
            <w:r>
              <w:rPr>
                <w:rFonts w:ascii="Arial" w:cs="Arial" w:eastAsia="Arial" w:hAnsi="Arial"/>
                <w:sz w:val="18"/>
                <w:szCs w:val="18"/>
                <w:color w:val="auto"/>
              </w:rPr>
              <w:t>/s/ Louis T. Hsieh</w:t>
            </w:r>
          </w:p>
        </w:tc>
        <w:tc>
          <w:tcPr>
            <w:tcW w:w="39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c>
          <w:tcPr>
            <w:tcW w:w="2320" w:type="dxa"/>
            <w:vAlign w:val="bottom"/>
          </w:tcPr>
          <w:p>
            <w:pPr>
              <w:ind w:left="1160"/>
              <w:spacing w:after="0"/>
              <w:rPr>
                <w:sz w:val="20"/>
                <w:szCs w:val="20"/>
                <w:color w:val="auto"/>
              </w:rPr>
            </w:pPr>
            <w:r>
              <w:rPr>
                <w:rFonts w:ascii="Arial" w:cs="Arial" w:eastAsia="Arial" w:hAnsi="Arial"/>
                <w:sz w:val="18"/>
                <w:szCs w:val="18"/>
                <w:color w:val="auto"/>
                <w:w w:val="86"/>
              </w:rPr>
              <w:t>August 31, 2006</w:t>
            </w:r>
          </w:p>
        </w:tc>
        <w:tc>
          <w:tcPr>
            <w:tcW w:w="0" w:type="dxa"/>
            <w:vAlign w:val="bottom"/>
          </w:tcPr>
          <w:p>
            <w:pPr>
              <w:spacing w:after="0"/>
              <w:rPr>
                <w:sz w:val="1"/>
                <w:szCs w:val="1"/>
                <w:color w:val="auto"/>
              </w:rPr>
            </w:pPr>
          </w:p>
        </w:tc>
      </w:tr>
      <w:tr>
        <w:trPr>
          <w:trHeight w:val="116"/>
        </w:trPr>
        <w:tc>
          <w:tcPr>
            <w:tcW w:w="4580" w:type="dxa"/>
            <w:vAlign w:val="bottom"/>
            <w:tcBorders>
              <w:bottom w:val="single" w:sz="8" w:color="auto"/>
            </w:tcBorders>
          </w:tcPr>
          <w:p>
            <w:pPr>
              <w:spacing w:after="0"/>
              <w:rPr>
                <w:sz w:val="10"/>
                <w:szCs w:val="10"/>
                <w:color w:val="auto"/>
              </w:rPr>
            </w:pPr>
          </w:p>
        </w:tc>
        <w:tc>
          <w:tcPr>
            <w:tcW w:w="3900" w:type="dxa"/>
            <w:vAlign w:val="bottom"/>
            <w:vMerge w:val="restart"/>
          </w:tcPr>
          <w:p>
            <w:pPr>
              <w:ind w:left="240"/>
              <w:spacing w:after="0"/>
              <w:rPr>
                <w:sz w:val="20"/>
                <w:szCs w:val="20"/>
                <w:color w:val="auto"/>
              </w:rPr>
            </w:pPr>
            <w:r>
              <w:rPr>
                <w:rFonts w:ascii="Arial" w:cs="Arial" w:eastAsia="Arial" w:hAnsi="Arial"/>
                <w:sz w:val="18"/>
                <w:szCs w:val="18"/>
                <w:color w:val="auto"/>
              </w:rPr>
              <w:t>(principal financial officer)</w:t>
            </w: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580" w:type="dxa"/>
            <w:vAlign w:val="bottom"/>
            <w:vMerge w:val="restart"/>
          </w:tcPr>
          <w:p>
            <w:pPr>
              <w:spacing w:after="0"/>
              <w:rPr>
                <w:sz w:val="20"/>
                <w:szCs w:val="20"/>
                <w:color w:val="auto"/>
              </w:rPr>
            </w:pPr>
            <w:r>
              <w:rPr>
                <w:rFonts w:ascii="Arial" w:cs="Arial" w:eastAsia="Arial" w:hAnsi="Arial"/>
                <w:sz w:val="18"/>
                <w:szCs w:val="18"/>
                <w:color w:val="auto"/>
              </w:rPr>
              <w:t>Name: Louis T. Hsieh</w:t>
            </w:r>
          </w:p>
        </w:tc>
        <w:tc>
          <w:tcPr>
            <w:tcW w:w="390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80" w:type="dxa"/>
            <w:vAlign w:val="bottom"/>
            <w:vMerge w:val="continue"/>
          </w:tcPr>
          <w:p>
            <w:pPr>
              <w:spacing w:after="0"/>
              <w:rPr>
                <w:sz w:val="19"/>
                <w:szCs w:val="19"/>
                <w:color w:val="auto"/>
              </w:rPr>
            </w:pPr>
          </w:p>
        </w:tc>
        <w:tc>
          <w:tcPr>
            <w:tcW w:w="39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80" w:type="dxa"/>
            <w:vAlign w:val="bottom"/>
          </w:tcPr>
          <w:p>
            <w:pPr>
              <w:spacing w:after="0"/>
              <w:rPr>
                <w:sz w:val="20"/>
                <w:szCs w:val="20"/>
                <w:color w:val="auto"/>
              </w:rPr>
            </w:pPr>
            <w:r>
              <w:rPr>
                <w:rFonts w:ascii="Arial" w:cs="Arial" w:eastAsia="Arial" w:hAnsi="Arial"/>
                <w:sz w:val="18"/>
                <w:szCs w:val="18"/>
                <w:color w:val="auto"/>
              </w:rPr>
              <w:t>/s/ *</w:t>
            </w:r>
          </w:p>
        </w:tc>
        <w:tc>
          <w:tcPr>
            <w:tcW w:w="3900" w:type="dxa"/>
            <w:vAlign w:val="bottom"/>
          </w:tcPr>
          <w:p>
            <w:pPr>
              <w:ind w:left="240"/>
              <w:spacing w:after="0"/>
              <w:rPr>
                <w:sz w:val="20"/>
                <w:szCs w:val="20"/>
                <w:color w:val="auto"/>
              </w:rPr>
            </w:pPr>
            <w:r>
              <w:rPr>
                <w:rFonts w:ascii="Arial" w:cs="Arial" w:eastAsia="Arial" w:hAnsi="Arial"/>
                <w:sz w:val="18"/>
                <w:szCs w:val="18"/>
                <w:color w:val="auto"/>
              </w:rPr>
              <w:t>Director of Finance and Controller</w:t>
            </w:r>
          </w:p>
        </w:tc>
        <w:tc>
          <w:tcPr>
            <w:tcW w:w="2320" w:type="dxa"/>
            <w:vAlign w:val="bottom"/>
          </w:tcPr>
          <w:p>
            <w:pPr>
              <w:ind w:left="1160"/>
              <w:spacing w:after="0"/>
              <w:rPr>
                <w:sz w:val="20"/>
                <w:szCs w:val="20"/>
                <w:color w:val="auto"/>
              </w:rPr>
            </w:pPr>
            <w:r>
              <w:rPr>
                <w:rFonts w:ascii="Arial" w:cs="Arial" w:eastAsia="Arial" w:hAnsi="Arial"/>
                <w:sz w:val="18"/>
                <w:szCs w:val="18"/>
                <w:color w:val="auto"/>
                <w:w w:val="86"/>
              </w:rPr>
              <w:t>August 31, 2006</w:t>
            </w:r>
          </w:p>
        </w:tc>
        <w:tc>
          <w:tcPr>
            <w:tcW w:w="0" w:type="dxa"/>
            <w:vAlign w:val="bottom"/>
          </w:tcPr>
          <w:p>
            <w:pPr>
              <w:spacing w:after="0"/>
              <w:rPr>
                <w:sz w:val="1"/>
                <w:szCs w:val="1"/>
                <w:color w:val="auto"/>
              </w:rPr>
            </w:pPr>
          </w:p>
        </w:tc>
      </w:tr>
      <w:tr>
        <w:trPr>
          <w:trHeight w:val="116"/>
        </w:trPr>
        <w:tc>
          <w:tcPr>
            <w:tcW w:w="4580" w:type="dxa"/>
            <w:vAlign w:val="bottom"/>
            <w:tcBorders>
              <w:bottom w:val="single" w:sz="8" w:color="auto"/>
            </w:tcBorders>
          </w:tcPr>
          <w:p>
            <w:pPr>
              <w:spacing w:after="0"/>
              <w:rPr>
                <w:sz w:val="10"/>
                <w:szCs w:val="10"/>
                <w:color w:val="auto"/>
              </w:rPr>
            </w:pPr>
          </w:p>
        </w:tc>
        <w:tc>
          <w:tcPr>
            <w:tcW w:w="3900" w:type="dxa"/>
            <w:vAlign w:val="bottom"/>
            <w:vMerge w:val="restart"/>
          </w:tcPr>
          <w:p>
            <w:pPr>
              <w:ind w:left="240"/>
              <w:spacing w:after="0"/>
              <w:rPr>
                <w:sz w:val="20"/>
                <w:szCs w:val="20"/>
                <w:color w:val="auto"/>
              </w:rPr>
            </w:pPr>
            <w:r>
              <w:rPr>
                <w:rFonts w:ascii="Arial" w:cs="Arial" w:eastAsia="Arial" w:hAnsi="Arial"/>
                <w:sz w:val="18"/>
                <w:szCs w:val="18"/>
                <w:color w:val="auto"/>
              </w:rPr>
              <w:t>(principal accounting officer)</w:t>
            </w: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580" w:type="dxa"/>
            <w:vAlign w:val="bottom"/>
            <w:vMerge w:val="restart"/>
          </w:tcPr>
          <w:p>
            <w:pPr>
              <w:spacing w:after="0"/>
              <w:rPr>
                <w:sz w:val="20"/>
                <w:szCs w:val="20"/>
                <w:color w:val="auto"/>
              </w:rPr>
            </w:pPr>
            <w:r>
              <w:rPr>
                <w:rFonts w:ascii="Arial" w:cs="Arial" w:eastAsia="Arial" w:hAnsi="Arial"/>
                <w:sz w:val="18"/>
                <w:szCs w:val="18"/>
                <w:color w:val="auto"/>
              </w:rPr>
              <w:t>Name: Ping Wei</w:t>
            </w:r>
          </w:p>
        </w:tc>
        <w:tc>
          <w:tcPr>
            <w:tcW w:w="390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80" w:type="dxa"/>
            <w:vAlign w:val="bottom"/>
            <w:vMerge w:val="continue"/>
          </w:tcPr>
          <w:p>
            <w:pPr>
              <w:spacing w:after="0"/>
              <w:rPr>
                <w:sz w:val="19"/>
                <w:szCs w:val="19"/>
                <w:color w:val="auto"/>
              </w:rPr>
            </w:pPr>
          </w:p>
        </w:tc>
        <w:tc>
          <w:tcPr>
            <w:tcW w:w="39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580" w:type="dxa"/>
            <w:vAlign w:val="bottom"/>
          </w:tcPr>
          <w:p>
            <w:pPr>
              <w:spacing w:after="0"/>
              <w:rPr>
                <w:sz w:val="20"/>
                <w:szCs w:val="20"/>
                <w:color w:val="auto"/>
              </w:rPr>
            </w:pPr>
            <w:r>
              <w:rPr>
                <w:rFonts w:ascii="Arial" w:cs="Arial" w:eastAsia="Arial" w:hAnsi="Arial"/>
                <w:sz w:val="18"/>
                <w:szCs w:val="18"/>
                <w:color w:val="auto"/>
              </w:rPr>
              <w:t>/s/ *</w:t>
            </w:r>
          </w:p>
        </w:tc>
        <w:tc>
          <w:tcPr>
            <w:tcW w:w="39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160"/>
              <w:spacing w:after="0"/>
              <w:rPr>
                <w:sz w:val="20"/>
                <w:szCs w:val="20"/>
                <w:color w:val="auto"/>
              </w:rPr>
            </w:pPr>
            <w:r>
              <w:rPr>
                <w:rFonts w:ascii="Arial" w:cs="Arial" w:eastAsia="Arial" w:hAnsi="Arial"/>
                <w:sz w:val="18"/>
                <w:szCs w:val="18"/>
                <w:color w:val="auto"/>
                <w:w w:val="86"/>
              </w:rPr>
              <w:t>August 31, 2006</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tcPr>
          <w:p>
            <w:pPr>
              <w:spacing w:after="0"/>
              <w:rPr>
                <w:sz w:val="20"/>
                <w:szCs w:val="20"/>
                <w:color w:val="auto"/>
              </w:rPr>
            </w:pPr>
            <w:r>
              <w:rPr>
                <w:rFonts w:ascii="Arial" w:cs="Arial" w:eastAsia="Arial" w:hAnsi="Arial"/>
                <w:sz w:val="18"/>
                <w:szCs w:val="18"/>
                <w:color w:val="auto"/>
              </w:rPr>
              <w:t>Name: Chenggang Zhou</w:t>
            </w:r>
          </w:p>
        </w:tc>
        <w:tc>
          <w:tcPr>
            <w:tcW w:w="3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tcPr>
          <w:p>
            <w:pPr>
              <w:spacing w:after="0"/>
              <w:rPr>
                <w:sz w:val="20"/>
                <w:szCs w:val="20"/>
                <w:color w:val="auto"/>
              </w:rPr>
            </w:pPr>
            <w:r>
              <w:rPr>
                <w:rFonts w:ascii="Arial" w:cs="Arial" w:eastAsia="Arial" w:hAnsi="Arial"/>
                <w:sz w:val="18"/>
                <w:szCs w:val="18"/>
                <w:color w:val="auto"/>
              </w:rPr>
              <w:t>/s/ *</w:t>
            </w:r>
          </w:p>
        </w:tc>
        <w:tc>
          <w:tcPr>
            <w:tcW w:w="39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160"/>
              <w:spacing w:after="0"/>
              <w:rPr>
                <w:sz w:val="20"/>
                <w:szCs w:val="20"/>
                <w:color w:val="auto"/>
              </w:rPr>
            </w:pPr>
            <w:r>
              <w:rPr>
                <w:rFonts w:ascii="Arial" w:cs="Arial" w:eastAsia="Arial" w:hAnsi="Arial"/>
                <w:sz w:val="18"/>
                <w:szCs w:val="18"/>
                <w:color w:val="auto"/>
                <w:w w:val="86"/>
              </w:rPr>
              <w:t>August 31, 2006</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tcPr>
          <w:p>
            <w:pPr>
              <w:spacing w:after="0"/>
              <w:rPr>
                <w:sz w:val="20"/>
                <w:szCs w:val="20"/>
                <w:color w:val="auto"/>
              </w:rPr>
            </w:pPr>
            <w:r>
              <w:rPr>
                <w:rFonts w:ascii="Arial" w:cs="Arial" w:eastAsia="Arial" w:hAnsi="Arial"/>
                <w:sz w:val="18"/>
                <w:szCs w:val="18"/>
                <w:color w:val="auto"/>
              </w:rPr>
              <w:t>Name: Xiaohong Chen</w:t>
            </w:r>
          </w:p>
        </w:tc>
        <w:tc>
          <w:tcPr>
            <w:tcW w:w="3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tcPr>
          <w:p>
            <w:pPr>
              <w:spacing w:after="0"/>
              <w:rPr>
                <w:sz w:val="20"/>
                <w:szCs w:val="20"/>
                <w:color w:val="auto"/>
              </w:rPr>
            </w:pPr>
            <w:r>
              <w:rPr>
                <w:rFonts w:ascii="Arial" w:cs="Arial" w:eastAsia="Arial" w:hAnsi="Arial"/>
                <w:sz w:val="18"/>
                <w:szCs w:val="18"/>
                <w:color w:val="auto"/>
              </w:rPr>
              <w:t>/s/ *</w:t>
            </w:r>
          </w:p>
        </w:tc>
        <w:tc>
          <w:tcPr>
            <w:tcW w:w="3900" w:type="dxa"/>
            <w:vAlign w:val="bottom"/>
          </w:tcPr>
          <w:p>
            <w:pPr>
              <w:ind w:left="240"/>
              <w:spacing w:after="0"/>
              <w:rPr>
                <w:sz w:val="20"/>
                <w:szCs w:val="20"/>
                <w:color w:val="auto"/>
              </w:rPr>
            </w:pPr>
            <w:r>
              <w:rPr>
                <w:rFonts w:ascii="Arial" w:cs="Arial" w:eastAsia="Arial" w:hAnsi="Arial"/>
                <w:sz w:val="18"/>
                <w:szCs w:val="18"/>
                <w:color w:val="auto"/>
              </w:rPr>
              <w:t>Authorized U.S. Representative</w:t>
            </w:r>
          </w:p>
        </w:tc>
        <w:tc>
          <w:tcPr>
            <w:tcW w:w="2320" w:type="dxa"/>
            <w:vAlign w:val="bottom"/>
          </w:tcPr>
          <w:p>
            <w:pPr>
              <w:ind w:left="1160"/>
              <w:spacing w:after="0"/>
              <w:rPr>
                <w:sz w:val="20"/>
                <w:szCs w:val="20"/>
                <w:color w:val="auto"/>
              </w:rPr>
            </w:pPr>
            <w:r>
              <w:rPr>
                <w:rFonts w:ascii="Arial" w:cs="Arial" w:eastAsia="Arial" w:hAnsi="Arial"/>
                <w:sz w:val="18"/>
                <w:szCs w:val="18"/>
                <w:color w:val="auto"/>
                <w:w w:val="86"/>
              </w:rPr>
              <w:t>August 31, 2006</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Name: Donald J. Puglisi</w:t>
            </w:r>
          </w:p>
        </w:tc>
        <w:tc>
          <w:tcPr>
            <w:tcW w:w="3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3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580"/>
              <w:spacing w:after="0"/>
              <w:rPr>
                <w:sz w:val="20"/>
                <w:szCs w:val="20"/>
                <w:color w:val="auto"/>
              </w:rPr>
            </w:pPr>
            <w:r>
              <w:rPr>
                <w:rFonts w:ascii="Arial" w:cs="Arial" w:eastAsia="Arial" w:hAnsi="Arial"/>
                <w:sz w:val="18"/>
                <w:szCs w:val="18"/>
                <w:color w:val="auto"/>
              </w:rPr>
              <w:t>Puglisi &amp; Associates</w:t>
            </w:r>
          </w:p>
        </w:tc>
        <w:tc>
          <w:tcPr>
            <w:tcW w:w="39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580" w:type="dxa"/>
            <w:vAlign w:val="bottom"/>
          </w:tcPr>
          <w:p>
            <w:pPr>
              <w:spacing w:after="0"/>
              <w:rPr>
                <w:sz w:val="20"/>
                <w:szCs w:val="20"/>
                <w:color w:val="auto"/>
              </w:rPr>
            </w:pPr>
            <w:r>
              <w:rPr>
                <w:rFonts w:ascii="Arial" w:cs="Arial" w:eastAsia="Arial" w:hAnsi="Arial"/>
                <w:sz w:val="18"/>
                <w:szCs w:val="18"/>
                <w:color w:val="auto"/>
              </w:rPr>
              <w:t>*By: /s/ Michael Minhong Yu</w:t>
            </w:r>
          </w:p>
        </w:tc>
        <w:tc>
          <w:tcPr>
            <w:tcW w:w="3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580" w:type="dxa"/>
            <w:vAlign w:val="bottom"/>
          </w:tcPr>
          <w:p>
            <w:pPr>
              <w:ind w:left="620"/>
              <w:spacing w:after="0"/>
              <w:rPr>
                <w:sz w:val="20"/>
                <w:szCs w:val="20"/>
                <w:color w:val="auto"/>
              </w:rPr>
            </w:pPr>
            <w:r>
              <w:rPr>
                <w:rFonts w:ascii="Arial" w:cs="Arial" w:eastAsia="Arial" w:hAnsi="Arial"/>
                <w:sz w:val="18"/>
                <w:szCs w:val="18"/>
                <w:color w:val="auto"/>
              </w:rPr>
              <w:t>Michael Minhong Yu</w:t>
            </w:r>
          </w:p>
        </w:tc>
        <w:tc>
          <w:tcPr>
            <w:tcW w:w="3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620"/>
              <w:spacing w:after="0"/>
              <w:rPr>
                <w:sz w:val="20"/>
                <w:szCs w:val="20"/>
                <w:color w:val="auto"/>
              </w:rPr>
            </w:pPr>
            <w:r>
              <w:rPr>
                <w:rFonts w:ascii="Arial" w:cs="Arial" w:eastAsia="Arial" w:hAnsi="Arial"/>
                <w:sz w:val="18"/>
                <w:szCs w:val="18"/>
                <w:color w:val="auto"/>
              </w:rPr>
              <w:t>Attorney-in-Fact</w:t>
            </w:r>
          </w:p>
        </w:tc>
        <w:tc>
          <w:tcPr>
            <w:tcW w:w="39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580" w:type="dxa"/>
            <w:vAlign w:val="bottom"/>
          </w:tcPr>
          <w:p>
            <w:pPr>
              <w:spacing w:after="0"/>
              <w:rPr>
                <w:sz w:val="24"/>
                <w:szCs w:val="24"/>
                <w:color w:val="auto"/>
              </w:rPr>
            </w:pPr>
          </w:p>
        </w:tc>
        <w:tc>
          <w:tcPr>
            <w:tcW w:w="3900" w:type="dxa"/>
            <w:vAlign w:val="bottom"/>
          </w:tcPr>
          <w:p>
            <w:pPr>
              <w:ind w:left="1000"/>
              <w:spacing w:after="0"/>
              <w:rPr>
                <w:sz w:val="20"/>
                <w:szCs w:val="20"/>
                <w:color w:val="auto"/>
              </w:rPr>
            </w:pPr>
            <w:r>
              <w:rPr>
                <w:rFonts w:ascii="Arial" w:cs="Arial" w:eastAsia="Arial" w:hAnsi="Arial"/>
                <w:sz w:val="18"/>
                <w:szCs w:val="18"/>
                <w:color w:val="auto"/>
              </w:rPr>
              <w:t>II-6</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b w:val="1"/>
                <w:bCs w:val="1"/>
                <w:color w:val="auto"/>
              </w:rPr>
              <w:t>NEW ORIENTAL EDUCATION &amp; TECHNOLOGY GROUP INC.</w:t>
            </w:r>
          </w:p>
        </w:tc>
      </w:tr>
      <w:tr>
        <w:trPr>
          <w:trHeight w:val="365"/>
        </w:trPr>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300" w:type="dxa"/>
            <w:vAlign w:val="bottom"/>
            <w:gridSpan w:val="2"/>
          </w:tcPr>
          <w:p>
            <w:pPr>
              <w:ind w:left="21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20" w:type="dxa"/>
            <w:vAlign w:val="bottom"/>
          </w:tcPr>
          <w:p>
            <w:pPr>
              <w:ind w:left="100"/>
              <w:spacing w:after="0"/>
              <w:rPr>
                <w:sz w:val="20"/>
                <w:szCs w:val="20"/>
                <w:color w:val="auto"/>
              </w:rPr>
            </w:pPr>
            <w:r>
              <w:rPr>
                <w:rFonts w:ascii="Arial" w:cs="Arial" w:eastAsia="Arial" w:hAnsi="Arial"/>
                <w:sz w:val="18"/>
                <w:szCs w:val="18"/>
                <w:color w:val="auto"/>
                <w:w w:val="97"/>
              </w:rPr>
              <w:t>Exhibit Number</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Description of Document</w:t>
            </w:r>
          </w:p>
        </w:tc>
      </w:tr>
      <w:tr>
        <w:trPr>
          <w:trHeight w:val="110"/>
        </w:trPr>
        <w:tc>
          <w:tcPr>
            <w:tcW w:w="132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6140" w:type="dxa"/>
            <w:vAlign w:val="bottom"/>
          </w:tcPr>
          <w:p>
            <w:pPr>
              <w:spacing w:after="0"/>
              <w:rPr>
                <w:sz w:val="9"/>
                <w:szCs w:val="9"/>
                <w:color w:val="auto"/>
              </w:rPr>
            </w:pPr>
          </w:p>
        </w:tc>
      </w:tr>
      <w:tr>
        <w:trPr>
          <w:trHeight w:val="532"/>
        </w:trPr>
        <w:tc>
          <w:tcPr>
            <w:tcW w:w="1320" w:type="dxa"/>
            <w:vAlign w:val="bottom"/>
          </w:tcPr>
          <w:p>
            <w:pPr>
              <w:spacing w:after="0"/>
              <w:rPr>
                <w:sz w:val="20"/>
                <w:szCs w:val="20"/>
                <w:color w:val="auto"/>
              </w:rPr>
            </w:pPr>
            <w:r>
              <w:rPr>
                <w:rFonts w:ascii="Arial" w:cs="Arial" w:eastAsia="Arial" w:hAnsi="Arial"/>
                <w:sz w:val="18"/>
                <w:szCs w:val="18"/>
                <w:color w:val="auto"/>
              </w:rPr>
              <w:t>1.1**</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3.1*</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Memorandum and Articles of Association of the Registrant, as currently in effect.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Amended and Restated Memorandum and Articles of Association of the Registrant.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4.1**</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Registrant’s Specimen American Depositary Receipt (included in Exhibit 4.3).</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4.2*</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Registrant’s Specimen Certificate for Common shares.</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4.3**</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w w:val="89"/>
              </w:rPr>
              <w:t>Form of Deposit Agreement among the Registrant, the depositary and holders of the American Depositary Receipts.</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4.4*</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w w:val="89"/>
              </w:rPr>
              <w:t>Share Purchase Agreement, dated December 24, 2004, in respect of the issue of preferred shares of the Registrant.</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4.5*</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w w:val="88"/>
              </w:rPr>
              <w:t>First Amended and Restated Investors’ Rights Agreement, dated as of May 25, 2005, among the Registrant and other</w:t>
            </w:r>
          </w:p>
        </w:tc>
      </w:tr>
      <w:tr>
        <w:trPr>
          <w:trHeight w:val="222"/>
        </w:trPr>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parties therein.</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4.6*</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Voting Agreement, dated as of December 24, 2004, among the Registrant and other parties therein.</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4.7*</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w w:val="87"/>
              </w:rPr>
              <w:t>Right of First Refusal and Co-Sale Agreement, dated as of December 24, 2004 among the Registrant and other parties</w:t>
            </w:r>
          </w:p>
        </w:tc>
      </w:tr>
      <w:tr>
        <w:trPr>
          <w:trHeight w:val="222"/>
        </w:trPr>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therein.</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5.1*</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Opinion of Conyers Dill &amp; Pearman regarding the validity of the common shares being registered.</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8.1*</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Opinion of Latham &amp; Watkins LLP regarding certain U.S. tax matters.</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2006 Share Incentive Plan.</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10.2*</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Form of Indemnification Agreement with the Registrant’s directors.</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10.3*</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w w:val="98"/>
              </w:rPr>
              <w:t>Form of Employment Agreement between the Registrant and a Senior Executive Officer of the Registrant.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21.1*</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23.1**</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Consent of Deloitte Touche Tohmatsu CPA Ltd., an Independent Registered Public Accounting Firm.</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23.2*</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Consent of Conyers Dill &amp; Pearman.</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23.3*</w:t>
            </w:r>
          </w:p>
        </w:tc>
        <w:tc>
          <w:tcPr>
            <w:tcW w:w="16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Consent of Latham &amp; Watkins LLP.</w:t>
            </w:r>
          </w:p>
        </w:tc>
      </w:tr>
    </w:tbl>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20" w:type="dxa"/>
            <w:vAlign w:val="bottom"/>
          </w:tcPr>
          <w:p>
            <w:pPr>
              <w:ind w:left="100"/>
              <w:spacing w:after="0"/>
              <w:rPr>
                <w:sz w:val="20"/>
                <w:szCs w:val="20"/>
                <w:color w:val="auto"/>
              </w:rPr>
            </w:pPr>
            <w:r>
              <w:rPr>
                <w:rFonts w:ascii="Arial" w:cs="Arial" w:eastAsia="Arial" w:hAnsi="Arial"/>
                <w:sz w:val="18"/>
                <w:szCs w:val="18"/>
                <w:color w:val="auto"/>
                <w:w w:val="97"/>
              </w:rPr>
              <w:t>Exhibit Number</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Description of Document</w:t>
            </w:r>
          </w:p>
        </w:tc>
      </w:tr>
      <w:tr>
        <w:trPr>
          <w:trHeight w:val="110"/>
        </w:trPr>
        <w:tc>
          <w:tcPr>
            <w:tcW w:w="132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6340" w:type="dxa"/>
            <w:vAlign w:val="bottom"/>
          </w:tcPr>
          <w:p>
            <w:pPr>
              <w:spacing w:after="0"/>
              <w:rPr>
                <w:sz w:val="9"/>
                <w:szCs w:val="9"/>
                <w:color w:val="auto"/>
              </w:rPr>
            </w:pPr>
          </w:p>
        </w:tc>
      </w:tr>
      <w:tr>
        <w:trPr>
          <w:trHeight w:val="532"/>
        </w:trPr>
        <w:tc>
          <w:tcPr>
            <w:tcW w:w="1320" w:type="dxa"/>
            <w:vAlign w:val="bottom"/>
          </w:tcPr>
          <w:p>
            <w:pPr>
              <w:spacing w:after="0"/>
              <w:rPr>
                <w:sz w:val="20"/>
                <w:szCs w:val="20"/>
                <w:color w:val="auto"/>
              </w:rPr>
            </w:pPr>
            <w:r>
              <w:rPr>
                <w:rFonts w:ascii="Arial" w:cs="Arial" w:eastAsia="Arial" w:hAnsi="Arial"/>
                <w:sz w:val="18"/>
                <w:szCs w:val="18"/>
                <w:color w:val="auto"/>
              </w:rPr>
              <w:t>23.4**</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Consent of Tian Yuan Law Firm (included in Exhibit 99.16).</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23.5*</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Consent of American Appraisal China Limited</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23.6*</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Consent of Robin Yanhong Li</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23.7*</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Consent of Denny Lee</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24.1*</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Powers of Attorney (included on signature page).</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Code of Business Conduct and Ethics of the Registrant.</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99.2*</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w w:val="94"/>
              </w:rPr>
              <w:t>English Translation of Form of Teaching Support Agreement between Beijing Decision and New Oriental schools.</w:t>
            </w: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99.3*</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w w:val="90"/>
              </w:rPr>
              <w:t>English Translation of Form of Website Development and Use Agreement between Beijing Decision and New Oriental</w:t>
            </w:r>
          </w:p>
        </w:tc>
      </w:tr>
      <w:tr>
        <w:trPr>
          <w:trHeight w:val="222"/>
        </w:trPr>
        <w:tc>
          <w:tcPr>
            <w:tcW w:w="1320" w:type="dxa"/>
            <w:vAlign w:val="bottom"/>
          </w:tcPr>
          <w:p>
            <w:pPr>
              <w:spacing w:after="0"/>
              <w:rPr>
                <w:sz w:val="19"/>
                <w:szCs w:val="19"/>
                <w:color w:val="auto"/>
              </w:rPr>
            </w:pP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schools.</w:t>
            </w: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99.4*</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w w:val="89"/>
              </w:rPr>
              <w:t>English Translation of Form of New Enrollment System Development Service Agreement between Beijing Decision and</w:t>
            </w:r>
          </w:p>
        </w:tc>
      </w:tr>
      <w:tr>
        <w:trPr>
          <w:trHeight w:val="222"/>
        </w:trPr>
        <w:tc>
          <w:tcPr>
            <w:tcW w:w="1320" w:type="dxa"/>
            <w:vAlign w:val="bottom"/>
          </w:tcPr>
          <w:p>
            <w:pPr>
              <w:spacing w:after="0"/>
              <w:rPr>
                <w:sz w:val="19"/>
                <w:szCs w:val="19"/>
                <w:color w:val="auto"/>
              </w:rPr>
            </w:pP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New Oriental schools.</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99.5*</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w w:val="91"/>
              </w:rPr>
              <w:t>English Translation of Form of Trademark License Agreement between Beijing Hewstone and New Oriental schools.</w:t>
            </w: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99.6*</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w w:val="92"/>
              </w:rPr>
              <w:t>English Translation of Trademark License Agreement dated May 13, 2006 between our company and New Oriental</w:t>
            </w:r>
          </w:p>
        </w:tc>
      </w:tr>
      <w:tr>
        <w:trPr>
          <w:trHeight w:val="222"/>
        </w:trPr>
        <w:tc>
          <w:tcPr>
            <w:tcW w:w="1320" w:type="dxa"/>
            <w:vAlign w:val="bottom"/>
          </w:tcPr>
          <w:p>
            <w:pPr>
              <w:spacing w:after="0"/>
              <w:rPr>
                <w:sz w:val="19"/>
                <w:szCs w:val="19"/>
                <w:color w:val="auto"/>
              </w:rPr>
            </w:pP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China.</w:t>
            </w: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99.7*</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w w:val="89"/>
              </w:rPr>
              <w:t>English Translation of Form of Exclusive Option Agreement among our company, New Oriental China and shareholders</w:t>
            </w:r>
          </w:p>
        </w:tc>
      </w:tr>
      <w:tr>
        <w:trPr>
          <w:trHeight w:val="222"/>
        </w:trPr>
        <w:tc>
          <w:tcPr>
            <w:tcW w:w="1320" w:type="dxa"/>
            <w:vAlign w:val="bottom"/>
          </w:tcPr>
          <w:p>
            <w:pPr>
              <w:spacing w:after="0"/>
              <w:rPr>
                <w:sz w:val="19"/>
                <w:szCs w:val="19"/>
                <w:color w:val="auto"/>
              </w:rPr>
            </w:pP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of New Oriental China.</w:t>
            </w: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99.8*</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w w:val="89"/>
              </w:rPr>
              <w:t>English Translation of Form of Equity Pledge Agreement among our company, New Oriental China and shareholders of</w:t>
            </w:r>
          </w:p>
        </w:tc>
      </w:tr>
      <w:tr>
        <w:trPr>
          <w:trHeight w:val="222"/>
        </w:trPr>
        <w:tc>
          <w:tcPr>
            <w:tcW w:w="1320" w:type="dxa"/>
            <w:vAlign w:val="bottom"/>
          </w:tcPr>
          <w:p>
            <w:pPr>
              <w:spacing w:after="0"/>
              <w:rPr>
                <w:sz w:val="19"/>
                <w:szCs w:val="19"/>
                <w:color w:val="auto"/>
              </w:rPr>
            </w:pP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New Oriental China.</w:t>
            </w: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99.9*</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w w:val="95"/>
              </w:rPr>
              <w:t>English Translation of Loan Agreement dated December 3, 2003 between Yangzhou New Oriental Education &amp;</w:t>
            </w:r>
          </w:p>
        </w:tc>
      </w:tr>
      <w:tr>
        <w:trPr>
          <w:trHeight w:val="222"/>
        </w:trPr>
        <w:tc>
          <w:tcPr>
            <w:tcW w:w="1320" w:type="dxa"/>
            <w:vAlign w:val="bottom"/>
          </w:tcPr>
          <w:p>
            <w:pPr>
              <w:spacing w:after="0"/>
              <w:rPr>
                <w:sz w:val="19"/>
                <w:szCs w:val="19"/>
                <w:color w:val="auto"/>
              </w:rPr>
            </w:pP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Technology Co., Ltd. and the Bank of Communications Yangzhou Branch.</w:t>
            </w: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99.10*</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w w:val="94"/>
              </w:rPr>
              <w:t>English Translation of Loan Agreement dated September 29, 2002 between Yangzhou New Oriental Education &amp;</w:t>
            </w:r>
          </w:p>
        </w:tc>
      </w:tr>
      <w:tr>
        <w:trPr>
          <w:trHeight w:val="222"/>
        </w:trPr>
        <w:tc>
          <w:tcPr>
            <w:tcW w:w="1320" w:type="dxa"/>
            <w:vAlign w:val="bottom"/>
          </w:tcPr>
          <w:p>
            <w:pPr>
              <w:spacing w:after="0"/>
              <w:rPr>
                <w:sz w:val="19"/>
                <w:szCs w:val="19"/>
                <w:color w:val="auto"/>
              </w:rPr>
            </w:pP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Technology Co., Ltd. and the Bank of Communications Yangzhou Branch.</w:t>
            </w: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99.11*</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w w:val="88"/>
              </w:rPr>
              <w:t>English Translation of Land Use Right Mortgage Agreement dated September 29, 2002 between Yangzhou New Oriental</w:t>
            </w:r>
          </w:p>
        </w:tc>
      </w:tr>
      <w:tr>
        <w:trPr>
          <w:trHeight w:val="222"/>
        </w:trPr>
        <w:tc>
          <w:tcPr>
            <w:tcW w:w="1320" w:type="dxa"/>
            <w:vAlign w:val="bottom"/>
          </w:tcPr>
          <w:p>
            <w:pPr>
              <w:spacing w:after="0"/>
              <w:rPr>
                <w:sz w:val="19"/>
                <w:szCs w:val="19"/>
                <w:color w:val="auto"/>
              </w:rPr>
            </w:pP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Education &amp; Technology Co., Ltd. and the Bank of Communications Yangzhou Branch.</w:t>
            </w: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99.12*</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w w:val="89"/>
              </w:rPr>
              <w:t>English Translation of Building Mortgage and Loan Agreement dated March 31, 2005 between New Oriental China and</w:t>
            </w:r>
          </w:p>
        </w:tc>
      </w:tr>
      <w:tr>
        <w:trPr>
          <w:trHeight w:val="222"/>
        </w:trPr>
        <w:tc>
          <w:tcPr>
            <w:tcW w:w="1320" w:type="dxa"/>
            <w:vAlign w:val="bottom"/>
          </w:tcPr>
          <w:p>
            <w:pPr>
              <w:spacing w:after="0"/>
              <w:rPr>
                <w:sz w:val="19"/>
                <w:szCs w:val="19"/>
                <w:color w:val="auto"/>
              </w:rPr>
            </w:pP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China Minsheng Banking Corporation Ltd. Beijing Hepingli Branch.</w:t>
            </w: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99.13*</w:t>
            </w: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w w:val="94"/>
              </w:rPr>
              <w:t>English Translation of Credit Facility Agreement dated February 5, 2006 between Beijing Haidian District Private-</w:t>
            </w:r>
          </w:p>
        </w:tc>
      </w:tr>
      <w:tr>
        <w:trPr>
          <w:trHeight w:val="222"/>
        </w:trPr>
        <w:tc>
          <w:tcPr>
            <w:tcW w:w="1320" w:type="dxa"/>
            <w:vAlign w:val="bottom"/>
          </w:tcPr>
          <w:p>
            <w:pPr>
              <w:spacing w:after="0"/>
              <w:rPr>
                <w:sz w:val="19"/>
                <w:szCs w:val="19"/>
                <w:color w:val="auto"/>
              </w:rPr>
            </w:pPr>
          </w:p>
        </w:tc>
        <w:tc>
          <w:tcPr>
            <w:tcW w:w="10020" w:type="dxa"/>
            <w:vAlign w:val="bottom"/>
            <w:gridSpan w:val="3"/>
          </w:tcPr>
          <w:p>
            <w:pPr>
              <w:ind w:left="1520"/>
              <w:spacing w:after="0"/>
              <w:rPr>
                <w:sz w:val="20"/>
                <w:szCs w:val="20"/>
                <w:color w:val="auto"/>
              </w:rPr>
            </w:pPr>
            <w:r>
              <w:rPr>
                <w:rFonts w:ascii="Arial" w:cs="Arial" w:eastAsia="Arial" w:hAnsi="Arial"/>
                <w:sz w:val="18"/>
                <w:szCs w:val="18"/>
                <w:color w:val="auto"/>
              </w:rPr>
              <w:t>Funded New Oriental School and Bank of Beijing Co., Ltd. Haidian Road Sub-branch.</w:t>
            </w:r>
          </w:p>
        </w:tc>
      </w:tr>
    </w:tbl>
    <w:p>
      <w:pPr>
        <w:sectPr>
          <w:pgSz w:w="11900" w:h="16838" w:orient="portrait"/>
          <w:cols w:equalWidth="0" w:num="1">
            <w:col w:w="11340"/>
          </w:cols>
          <w:pgMar w:left="240" w:top="460" w:right="3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20" w:type="dxa"/>
            <w:vAlign w:val="bottom"/>
          </w:tcPr>
          <w:p>
            <w:pPr>
              <w:ind w:left="100"/>
              <w:spacing w:after="0"/>
              <w:rPr>
                <w:sz w:val="20"/>
                <w:szCs w:val="20"/>
                <w:color w:val="auto"/>
              </w:rPr>
            </w:pPr>
            <w:r>
              <w:rPr>
                <w:rFonts w:ascii="Arial" w:cs="Arial" w:eastAsia="Arial" w:hAnsi="Arial"/>
                <w:sz w:val="18"/>
                <w:szCs w:val="18"/>
                <w:color w:val="auto"/>
                <w:w w:val="97"/>
              </w:rPr>
              <w:t>Exhibit Number</w:t>
            </w:r>
          </w:p>
        </w:tc>
        <w:tc>
          <w:tcPr>
            <w:tcW w:w="9900" w:type="dxa"/>
            <w:vAlign w:val="bottom"/>
            <w:gridSpan w:val="3"/>
          </w:tcPr>
          <w:p>
            <w:pPr>
              <w:ind w:left="1520"/>
              <w:spacing w:after="0"/>
              <w:rPr>
                <w:sz w:val="20"/>
                <w:szCs w:val="20"/>
                <w:color w:val="auto"/>
              </w:rPr>
            </w:pPr>
            <w:r>
              <w:rPr>
                <w:rFonts w:ascii="Arial" w:cs="Arial" w:eastAsia="Arial" w:hAnsi="Arial"/>
                <w:sz w:val="18"/>
                <w:szCs w:val="18"/>
                <w:color w:val="auto"/>
              </w:rPr>
              <w:t>Description of Document</w:t>
            </w:r>
          </w:p>
        </w:tc>
      </w:tr>
      <w:tr>
        <w:trPr>
          <w:trHeight w:val="110"/>
        </w:trPr>
        <w:tc>
          <w:tcPr>
            <w:tcW w:w="132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6220" w:type="dxa"/>
            <w:vAlign w:val="bottom"/>
          </w:tcPr>
          <w:p>
            <w:pPr>
              <w:spacing w:after="0"/>
              <w:rPr>
                <w:sz w:val="9"/>
                <w:szCs w:val="9"/>
                <w:color w:val="auto"/>
              </w:rPr>
            </w:pPr>
          </w:p>
        </w:tc>
      </w:tr>
      <w:tr>
        <w:trPr>
          <w:trHeight w:val="485"/>
        </w:trPr>
        <w:tc>
          <w:tcPr>
            <w:tcW w:w="1320" w:type="dxa"/>
            <w:vAlign w:val="bottom"/>
          </w:tcPr>
          <w:p>
            <w:pPr>
              <w:spacing w:after="0"/>
              <w:rPr>
                <w:sz w:val="20"/>
                <w:szCs w:val="20"/>
                <w:color w:val="auto"/>
              </w:rPr>
            </w:pPr>
            <w:r>
              <w:rPr>
                <w:rFonts w:ascii="Arial" w:cs="Arial" w:eastAsia="Arial" w:hAnsi="Arial"/>
                <w:sz w:val="18"/>
                <w:szCs w:val="18"/>
                <w:color w:val="auto"/>
              </w:rPr>
              <w:t>99.14*</w:t>
            </w:r>
          </w:p>
        </w:tc>
        <w:tc>
          <w:tcPr>
            <w:tcW w:w="9900" w:type="dxa"/>
            <w:vAlign w:val="bottom"/>
            <w:gridSpan w:val="3"/>
          </w:tcPr>
          <w:p>
            <w:pPr>
              <w:ind w:left="1520"/>
              <w:spacing w:after="0"/>
              <w:rPr>
                <w:sz w:val="20"/>
                <w:szCs w:val="20"/>
                <w:color w:val="auto"/>
              </w:rPr>
            </w:pPr>
            <w:r>
              <w:rPr>
                <w:rFonts w:ascii="Arial" w:cs="Arial" w:eastAsia="Arial" w:hAnsi="Arial"/>
                <w:sz w:val="18"/>
                <w:szCs w:val="18"/>
                <w:color w:val="auto"/>
                <w:w w:val="88"/>
              </w:rPr>
              <w:t>English Translation of Maximum Amount Guarantee Agreement dated February 5, 2006 between Michael Minhong Yu</w:t>
            </w:r>
          </w:p>
        </w:tc>
      </w:tr>
      <w:tr>
        <w:trPr>
          <w:trHeight w:val="222"/>
        </w:trPr>
        <w:tc>
          <w:tcPr>
            <w:tcW w:w="1320" w:type="dxa"/>
            <w:vAlign w:val="bottom"/>
          </w:tcPr>
          <w:p>
            <w:pPr>
              <w:spacing w:after="0"/>
              <w:rPr>
                <w:sz w:val="19"/>
                <w:szCs w:val="19"/>
                <w:color w:val="auto"/>
              </w:rPr>
            </w:pPr>
          </w:p>
        </w:tc>
        <w:tc>
          <w:tcPr>
            <w:tcW w:w="9900" w:type="dxa"/>
            <w:vAlign w:val="bottom"/>
            <w:gridSpan w:val="3"/>
          </w:tcPr>
          <w:p>
            <w:pPr>
              <w:ind w:left="1520"/>
              <w:spacing w:after="0"/>
              <w:rPr>
                <w:sz w:val="20"/>
                <w:szCs w:val="20"/>
                <w:color w:val="auto"/>
              </w:rPr>
            </w:pPr>
            <w:r>
              <w:rPr>
                <w:rFonts w:ascii="Arial" w:cs="Arial" w:eastAsia="Arial" w:hAnsi="Arial"/>
                <w:sz w:val="18"/>
                <w:szCs w:val="18"/>
                <w:color w:val="auto"/>
              </w:rPr>
              <w:t>and Bank of Beijing Co., Ltd. Haidian Road Sub-branch.</w:t>
            </w: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99.15*</w:t>
            </w:r>
          </w:p>
        </w:tc>
        <w:tc>
          <w:tcPr>
            <w:tcW w:w="9900" w:type="dxa"/>
            <w:vAlign w:val="bottom"/>
            <w:gridSpan w:val="3"/>
          </w:tcPr>
          <w:p>
            <w:pPr>
              <w:ind w:left="1520"/>
              <w:spacing w:after="0"/>
              <w:rPr>
                <w:sz w:val="20"/>
                <w:szCs w:val="20"/>
                <w:color w:val="auto"/>
              </w:rPr>
            </w:pPr>
            <w:r>
              <w:rPr>
                <w:rFonts w:ascii="Arial" w:cs="Arial" w:eastAsia="Arial" w:hAnsi="Arial"/>
                <w:sz w:val="18"/>
                <w:szCs w:val="18"/>
                <w:color w:val="auto"/>
                <w:w w:val="89"/>
              </w:rPr>
              <w:t>English Translation of Maximum Amount Guarantee Agreement dated February 5, 2006 between New Oriental China</w:t>
            </w:r>
          </w:p>
        </w:tc>
      </w:tr>
      <w:tr>
        <w:trPr>
          <w:trHeight w:val="222"/>
        </w:trPr>
        <w:tc>
          <w:tcPr>
            <w:tcW w:w="1320" w:type="dxa"/>
            <w:vAlign w:val="bottom"/>
          </w:tcPr>
          <w:p>
            <w:pPr>
              <w:spacing w:after="0"/>
              <w:rPr>
                <w:sz w:val="19"/>
                <w:szCs w:val="19"/>
                <w:color w:val="auto"/>
              </w:rPr>
            </w:pPr>
          </w:p>
        </w:tc>
        <w:tc>
          <w:tcPr>
            <w:tcW w:w="9900" w:type="dxa"/>
            <w:vAlign w:val="bottom"/>
            <w:gridSpan w:val="3"/>
          </w:tcPr>
          <w:p>
            <w:pPr>
              <w:ind w:left="1520"/>
              <w:spacing w:after="0"/>
              <w:rPr>
                <w:sz w:val="20"/>
                <w:szCs w:val="20"/>
                <w:color w:val="auto"/>
              </w:rPr>
            </w:pPr>
            <w:r>
              <w:rPr>
                <w:rFonts w:ascii="Arial" w:cs="Arial" w:eastAsia="Arial" w:hAnsi="Arial"/>
                <w:sz w:val="18"/>
                <w:szCs w:val="18"/>
                <w:color w:val="auto"/>
              </w:rPr>
              <w:t>and Bank of Beijing Co., Ltd. Haidian Road Sub-branch.</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99.16**</w:t>
            </w:r>
          </w:p>
        </w:tc>
        <w:tc>
          <w:tcPr>
            <w:tcW w:w="9900" w:type="dxa"/>
            <w:vAlign w:val="bottom"/>
            <w:gridSpan w:val="3"/>
          </w:tcPr>
          <w:p>
            <w:pPr>
              <w:ind w:left="1520"/>
              <w:spacing w:after="0"/>
              <w:rPr>
                <w:sz w:val="20"/>
                <w:szCs w:val="20"/>
                <w:color w:val="auto"/>
              </w:rPr>
            </w:pPr>
            <w:r>
              <w:rPr>
                <w:rFonts w:ascii="Arial" w:cs="Arial" w:eastAsia="Arial" w:hAnsi="Arial"/>
                <w:sz w:val="18"/>
                <w:szCs w:val="18"/>
                <w:color w:val="auto"/>
              </w:rPr>
              <w:t>Opinion of Tianyuan Law Firm regarding certain PRC law 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6075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3" w:lineRule="exact"/>
        <w:rPr>
          <w:sz w:val="20"/>
          <w:szCs w:val="20"/>
          <w:color w:val="auto"/>
        </w:rPr>
      </w:pPr>
    </w:p>
    <w:p>
      <w:pPr>
        <w:ind w:right="9580" w:firstLine="8"/>
        <w:spacing w:after="0" w:line="332" w:lineRule="auto"/>
        <w:tabs>
          <w:tab w:leader="none" w:pos="44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Filed previously. ** Filed herewith.</w:t>
      </w:r>
    </w:p>
    <w:p>
      <w:pPr>
        <w:sectPr>
          <w:pgSz w:w="11900" w:h="16838" w:orient="portrait"/>
          <w:cols w:equalWidth="0" w:num="1">
            <w:col w:w="11220"/>
          </w:cols>
          <w:pgMar w:left="240" w:top="460" w:right="4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7,500,000 American Depositary Shares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Representing 4 Common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 Value US$0.01 Per Share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177"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September [·], 2006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REDIT</w:t>
      </w:r>
      <w:r>
        <w:rPr>
          <w:rFonts w:ascii="Arial" w:cs="Arial" w:eastAsia="Arial" w:hAnsi="Arial"/>
          <w:sz w:val="18"/>
          <w:szCs w:val="18"/>
          <w:color w:val="auto"/>
        </w:rPr>
        <w:t xml:space="preserve"> S</w:t>
      </w:r>
      <w:r>
        <w:rPr>
          <w:rFonts w:ascii="Arial" w:cs="Arial" w:eastAsia="Arial" w:hAnsi="Arial"/>
          <w:sz w:val="14"/>
          <w:szCs w:val="14"/>
          <w:color w:val="auto"/>
        </w:rPr>
        <w:t>UISSE</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(USA)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10010-3629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OLDMAN SACHS</w:t>
      </w:r>
      <w:r>
        <w:rPr>
          <w:rFonts w:ascii="Arial" w:cs="Arial" w:eastAsia="Arial" w:hAnsi="Arial"/>
          <w:sz w:val="18"/>
          <w:szCs w:val="18"/>
          <w:color w:val="auto"/>
        </w:rPr>
        <w:t xml:space="preserve"> (</w:t>
      </w:r>
      <w:r>
        <w:rPr>
          <w:rFonts w:ascii="Arial" w:cs="Arial" w:eastAsia="Arial" w:hAnsi="Arial"/>
          <w:sz w:val="14"/>
          <w:szCs w:val="14"/>
          <w:color w:val="auto"/>
        </w:rPr>
        <w:t>ASIA</w:t>
      </w:r>
      <w:r>
        <w:rPr>
          <w:rFonts w:ascii="Arial" w:cs="Arial" w:eastAsia="Arial" w:hAnsi="Arial"/>
          <w:sz w:val="18"/>
          <w:szCs w:val="18"/>
          <w:color w:val="auto"/>
        </w:rPr>
        <w:t xml:space="preserve">) </w:t>
      </w:r>
      <w:r>
        <w:rPr>
          <w:rFonts w:ascii="Arial" w:cs="Arial" w:eastAsia="Arial" w:hAnsi="Arial"/>
          <w:sz w:val="14"/>
          <w:szCs w:val="14"/>
          <w:color w:val="auto"/>
        </w:rPr>
        <w:t>L</w:t>
      </w:r>
      <w:r>
        <w:rPr>
          <w:rFonts w:ascii="Arial" w:cs="Arial" w:eastAsia="Arial" w:hAnsi="Arial"/>
          <w:sz w:val="18"/>
          <w:szCs w:val="18"/>
          <w:color w:val="auto"/>
        </w:rPr>
        <w:t>.</w:t>
      </w:r>
      <w:r>
        <w:rPr>
          <w:rFonts w:ascii="Arial" w:cs="Arial" w:eastAsia="Arial" w:hAnsi="Arial"/>
          <w:sz w:val="14"/>
          <w:szCs w:val="14"/>
          <w:color w:val="auto"/>
        </w:rPr>
        <w:t>L</w:t>
      </w:r>
      <w:r>
        <w:rPr>
          <w:rFonts w:ascii="Arial" w:cs="Arial" w:eastAsia="Arial" w:hAnsi="Arial"/>
          <w:sz w:val="18"/>
          <w:szCs w:val="18"/>
          <w:color w:val="auto"/>
        </w:rPr>
        <w:t>.</w:t>
      </w:r>
      <w:r>
        <w:rPr>
          <w:rFonts w:ascii="Arial" w:cs="Arial" w:eastAsia="Arial" w:hAnsi="Arial"/>
          <w:sz w:val="14"/>
          <w:szCs w:val="14"/>
          <w:color w:val="auto"/>
        </w:rPr>
        <w:t>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68/F, Cheung Kong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Representatives of the several Underwriters named in Schedule A hereto</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Sirs:</w:t>
      </w:r>
    </w:p>
    <w:p>
      <w:pPr>
        <w:spacing w:after="0" w:line="84" w:lineRule="exact"/>
        <w:rPr>
          <w:sz w:val="20"/>
          <w:szCs w:val="20"/>
          <w:color w:val="auto"/>
        </w:rPr>
      </w:pPr>
    </w:p>
    <w:p>
      <w:pPr>
        <w:ind w:right="20" w:firstLine="464"/>
        <w:spacing w:after="0" w:line="291" w:lineRule="auto"/>
        <w:tabs>
          <w:tab w:leader="none" w:pos="632"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Introductory</w:t>
      </w:r>
      <w:r>
        <w:rPr>
          <w:rFonts w:ascii="Arial" w:cs="Arial" w:eastAsia="Arial" w:hAnsi="Arial"/>
          <w:sz w:val="16"/>
          <w:szCs w:val="16"/>
          <w:color w:val="auto"/>
        </w:rPr>
        <w:t>. New Oriental Education &amp; Technology Group Inc., a Cayman Islands company limited by shares (the “</w:t>
      </w:r>
      <w:r>
        <w:rPr>
          <w:rFonts w:ascii="Arial" w:cs="Arial" w:eastAsia="Arial" w:hAnsi="Arial"/>
          <w:sz w:val="16"/>
          <w:szCs w:val="16"/>
          <w:b w:val="1"/>
          <w:bCs w:val="1"/>
          <w:color w:val="auto"/>
        </w:rPr>
        <w:t>Company</w:t>
      </w:r>
      <w:r>
        <w:rPr>
          <w:rFonts w:ascii="Arial" w:cs="Arial" w:eastAsia="Arial" w:hAnsi="Arial"/>
          <w:sz w:val="16"/>
          <w:szCs w:val="16"/>
          <w:color w:val="auto"/>
        </w:rPr>
        <w:t>”), agrees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Underwriters named in Schedule A hereto (the “</w:t>
      </w:r>
      <w:r>
        <w:rPr>
          <w:rFonts w:ascii="Arial" w:cs="Arial" w:eastAsia="Arial" w:hAnsi="Arial"/>
          <w:sz w:val="16"/>
          <w:szCs w:val="16"/>
          <w:b w:val="1"/>
          <w:bCs w:val="1"/>
          <w:color w:val="auto"/>
        </w:rPr>
        <w:t>Underwriters</w:t>
      </w:r>
      <w:r>
        <w:rPr>
          <w:rFonts w:ascii="Arial" w:cs="Arial" w:eastAsia="Arial" w:hAnsi="Arial"/>
          <w:sz w:val="16"/>
          <w:szCs w:val="16"/>
          <w:color w:val="auto"/>
        </w:rPr>
        <w:t>”) to issue and sell to the several Underwriters 7,500,000 American depositary shares (the “</w:t>
      </w:r>
      <w:r>
        <w:rPr>
          <w:rFonts w:ascii="Arial" w:cs="Arial" w:eastAsia="Arial" w:hAnsi="Arial"/>
          <w:sz w:val="16"/>
          <w:szCs w:val="16"/>
          <w:b w:val="1"/>
          <w:bCs w:val="1"/>
          <w:color w:val="auto"/>
        </w:rPr>
        <w:t>ADSs</w:t>
      </w:r>
      <w:r>
        <w:rPr>
          <w:rFonts w:ascii="Arial" w:cs="Arial" w:eastAsia="Arial" w:hAnsi="Arial"/>
          <w:sz w:val="16"/>
          <w:szCs w:val="16"/>
          <w:color w:val="auto"/>
        </w:rPr>
        <w:t>”), each representing 4 Common Shares (as defined below) of the Company (the “</w:t>
      </w:r>
      <w:r>
        <w:rPr>
          <w:rFonts w:ascii="Arial" w:cs="Arial" w:eastAsia="Arial" w:hAnsi="Arial"/>
          <w:sz w:val="16"/>
          <w:szCs w:val="16"/>
          <w:b w:val="1"/>
          <w:bCs w:val="1"/>
          <w:color w:val="auto"/>
        </w:rPr>
        <w:t>Firm Securities</w:t>
      </w:r>
      <w:r>
        <w:rPr>
          <w:rFonts w:ascii="Arial" w:cs="Arial" w:eastAsia="Arial" w:hAnsi="Arial"/>
          <w:sz w:val="16"/>
          <w:szCs w:val="16"/>
          <w:color w:val="auto"/>
        </w:rPr>
        <w:t>”). In addition, the Company proposes to issue and sell to the Underwriters, at the option of the Underwriters, an aggregate of not more than 1,125,000 additional ADSs (the “</w:t>
      </w:r>
      <w:r>
        <w:rPr>
          <w:rFonts w:ascii="Arial" w:cs="Arial" w:eastAsia="Arial" w:hAnsi="Arial"/>
          <w:sz w:val="16"/>
          <w:szCs w:val="16"/>
          <w:b w:val="1"/>
          <w:bCs w:val="1"/>
          <w:color w:val="auto"/>
        </w:rPr>
        <w:t>Optional Securities</w:t>
      </w:r>
      <w:r>
        <w:rPr>
          <w:rFonts w:ascii="Arial" w:cs="Arial" w:eastAsia="Arial" w:hAnsi="Arial"/>
          <w:sz w:val="16"/>
          <w:szCs w:val="16"/>
          <w:color w:val="auto"/>
        </w:rPr>
        <w:t>”). The Firm Securities and the Optional Securities are herein collectively called the “</w:t>
      </w:r>
      <w:r>
        <w:rPr>
          <w:rFonts w:ascii="Arial" w:cs="Arial" w:eastAsia="Arial" w:hAnsi="Arial"/>
          <w:sz w:val="16"/>
          <w:szCs w:val="16"/>
          <w:b w:val="1"/>
          <w:bCs w:val="1"/>
          <w:color w:val="auto"/>
        </w:rPr>
        <w:t>Offered Securities</w:t>
      </w:r>
      <w:r>
        <w:rPr>
          <w:rFonts w:ascii="Arial" w:cs="Arial" w:eastAsia="Arial" w:hAnsi="Arial"/>
          <w:sz w:val="16"/>
          <w:szCs w:val="16"/>
          <w:color w:val="auto"/>
        </w:rPr>
        <w:t>”. Each common share, par value US$0.01 per share, of the Company is herein called a “Common Share” and collectively called the “Common Shares.” Unless the context otherwise requires, each reference to the Firm Securities, the Optional Securities or the Offered Securities herein also includes the Common Shares underlying such securities.</w:t>
      </w:r>
    </w:p>
    <w:p>
      <w:pPr>
        <w:spacing w:after="0" w:line="113"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color w:val="auto"/>
        </w:rPr>
        <w:t>The Offered Securities will be evidenced by American depositary receipts (“</w:t>
      </w:r>
      <w:r>
        <w:rPr>
          <w:rFonts w:ascii="Arial" w:cs="Arial" w:eastAsia="Arial" w:hAnsi="Arial"/>
          <w:sz w:val="18"/>
          <w:szCs w:val="18"/>
          <w:b w:val="1"/>
          <w:bCs w:val="1"/>
          <w:color w:val="auto"/>
        </w:rPr>
        <w:t>ADRs</w:t>
      </w:r>
      <w:r>
        <w:rPr>
          <w:rFonts w:ascii="Arial" w:cs="Arial" w:eastAsia="Arial" w:hAnsi="Arial"/>
          <w:sz w:val="18"/>
          <w:szCs w:val="18"/>
          <w:color w:val="auto"/>
        </w:rPr>
        <w:t>”) to be issued pursuant to the Deposit Agreement dated on or about September [·], 2006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the Company, Deutsche Bank Trust Company Americas as depositary (the “</w:t>
      </w:r>
      <w:r>
        <w:rPr>
          <w:rFonts w:ascii="Arial" w:cs="Arial" w:eastAsia="Arial" w:hAnsi="Arial"/>
          <w:sz w:val="18"/>
          <w:szCs w:val="18"/>
          <w:b w:val="1"/>
          <w:bCs w:val="1"/>
          <w:color w:val="auto"/>
        </w:rPr>
        <w:t>Depositary</w:t>
      </w:r>
      <w:r>
        <w:rPr>
          <w:rFonts w:ascii="Arial" w:cs="Arial" w:eastAsia="Arial" w:hAnsi="Arial"/>
          <w:sz w:val="18"/>
          <w:szCs w:val="18"/>
          <w:color w:val="auto"/>
        </w:rPr>
        <w:t>”), and the holders and beneficial owners from time to time of the ADRs.</w:t>
      </w:r>
    </w:p>
    <w:p>
      <w:pPr>
        <w:sectPr>
          <w:pgSz w:w="11900" w:h="16838" w:orient="portrait"/>
          <w:cols w:equalWidth="0" w:num="1">
            <w:col w:w="11420"/>
          </w:cols>
          <w:pgMar w:left="240" w:top="125" w:right="239" w:bottom="1440" w:gutter="0" w:footer="0" w:header="0"/>
        </w:sectPr>
      </w:pPr>
    </w:p>
    <w:bookmarkStart w:id="197" w:name="page198"/>
    <w:bookmarkEnd w:id="197"/>
    <w:p>
      <w:pPr>
        <w:ind w:right="10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part of the offering contemplated by this Agreement, Piper Jaffray &amp; Co. (the “</w:t>
      </w:r>
      <w:r>
        <w:rPr>
          <w:rFonts w:ascii="Arial" w:cs="Arial" w:eastAsia="Arial" w:hAnsi="Arial"/>
          <w:sz w:val="16"/>
          <w:szCs w:val="16"/>
          <w:b w:val="1"/>
          <w:bCs w:val="1"/>
          <w:color w:val="auto"/>
        </w:rPr>
        <w:t>Designated Underwriter</w:t>
      </w:r>
      <w:r>
        <w:rPr>
          <w:rFonts w:ascii="Arial" w:cs="Arial" w:eastAsia="Arial" w:hAnsi="Arial"/>
          <w:sz w:val="16"/>
          <w:szCs w:val="16"/>
          <w:color w:val="auto"/>
        </w:rPr>
        <w:t>”) has agreed to reserve out of the Firm Securities purchased by it under this Agreement, up to 320,533 ADSs, for sale to the Company’s directors, officers, employees and other parties associated with the Company (collectively, the “</w:t>
      </w:r>
      <w:r>
        <w:rPr>
          <w:rFonts w:ascii="Arial" w:cs="Arial" w:eastAsia="Arial" w:hAnsi="Arial"/>
          <w:sz w:val="16"/>
          <w:szCs w:val="16"/>
          <w:b w:val="1"/>
          <w:bCs w:val="1"/>
          <w:color w:val="auto"/>
        </w:rPr>
        <w:t>Participants</w:t>
      </w:r>
      <w:r>
        <w:rPr>
          <w:rFonts w:ascii="Arial" w:cs="Arial" w:eastAsia="Arial" w:hAnsi="Arial"/>
          <w:sz w:val="16"/>
          <w:szCs w:val="16"/>
          <w:color w:val="auto"/>
        </w:rPr>
        <w:t>”), as set forth in the Final Prospectus (as defined herein) under the heading “Underwriting” (the “</w:t>
      </w:r>
      <w:r>
        <w:rPr>
          <w:rFonts w:ascii="Arial" w:cs="Arial" w:eastAsia="Arial" w:hAnsi="Arial"/>
          <w:sz w:val="16"/>
          <w:szCs w:val="16"/>
          <w:b w:val="1"/>
          <w:bCs w:val="1"/>
          <w:color w:val="auto"/>
        </w:rPr>
        <w:t>Directed Share</w:t>
      </w:r>
      <w:r>
        <w:rPr>
          <w:rFonts w:ascii="Arial" w:cs="Arial" w:eastAsia="Arial" w:hAnsi="Arial"/>
          <w:sz w:val="16"/>
          <w:szCs w:val="16"/>
          <w:color w:val="auto"/>
        </w:rPr>
        <w:t xml:space="preserve"> </w:t>
      </w:r>
      <w:r>
        <w:rPr>
          <w:rFonts w:ascii="Arial" w:cs="Arial" w:eastAsia="Arial" w:hAnsi="Arial"/>
          <w:sz w:val="16"/>
          <w:szCs w:val="16"/>
          <w:b w:val="1"/>
          <w:bCs w:val="1"/>
          <w:color w:val="auto"/>
        </w:rPr>
        <w:t>Program</w:t>
      </w:r>
      <w:r>
        <w:rPr>
          <w:rFonts w:ascii="Arial" w:cs="Arial" w:eastAsia="Arial" w:hAnsi="Arial"/>
          <w:sz w:val="16"/>
          <w:szCs w:val="16"/>
          <w:color w:val="auto"/>
        </w:rPr>
        <w:t>”). The Firm Securities to be sold by the Designated Underwriter pursuant to the Directed Share Program (the “</w:t>
      </w:r>
      <w:r>
        <w:rPr>
          <w:rFonts w:ascii="Arial" w:cs="Arial" w:eastAsia="Arial" w:hAnsi="Arial"/>
          <w:sz w:val="16"/>
          <w:szCs w:val="16"/>
          <w:b w:val="1"/>
          <w:bCs w:val="1"/>
          <w:color w:val="auto"/>
        </w:rPr>
        <w:t>Directed Shares</w:t>
      </w:r>
      <w:r>
        <w:rPr>
          <w:rFonts w:ascii="Arial" w:cs="Arial" w:eastAsia="Arial" w:hAnsi="Arial"/>
          <w:sz w:val="16"/>
          <w:szCs w:val="16"/>
          <w:color w:val="auto"/>
        </w:rPr>
        <w:t>”) will be sold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Underwriter pursuant to this Agreement at the public offering price. Any Directed Shares not subscribed for by the end of the business day on which this Agreement is executed will be offered to the public by the Underwriters as set forth in the Final Prospectus.</w:t>
      </w:r>
    </w:p>
    <w:p>
      <w:pPr>
        <w:spacing w:after="0" w:line="117" w:lineRule="exact"/>
        <w:rPr>
          <w:sz w:val="20"/>
          <w:szCs w:val="20"/>
          <w:color w:val="auto"/>
        </w:rPr>
      </w:pPr>
    </w:p>
    <w:p>
      <w:pPr>
        <w:ind w:left="640" w:hanging="176"/>
        <w:spacing w:after="0"/>
        <w:tabs>
          <w:tab w:leader="none" w:pos="640"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The Company represents and warrants to, and agrees with, the several Underwriters that:</w:t>
      </w:r>
    </w:p>
    <w:p>
      <w:pPr>
        <w:spacing w:after="0" w:line="113" w:lineRule="exact"/>
        <w:rPr>
          <w:rFonts w:ascii="Arial" w:cs="Arial" w:eastAsia="Arial" w:hAnsi="Arial"/>
          <w:sz w:val="16"/>
          <w:szCs w:val="16"/>
          <w:color w:val="auto"/>
        </w:rPr>
      </w:pPr>
    </w:p>
    <w:p>
      <w:pPr>
        <w:ind w:left="460" w:right="60" w:firstLine="443"/>
        <w:spacing w:after="0" w:line="286" w:lineRule="auto"/>
        <w:tabs>
          <w:tab w:leader="none" w:pos="1137" w:val="left"/>
        </w:tabs>
        <w:numPr>
          <w:ilvl w:val="1"/>
          <w:numId w:val="134"/>
        </w:numPr>
        <w:rPr>
          <w:rFonts w:ascii="Arial" w:cs="Arial" w:eastAsia="Arial" w:hAnsi="Arial"/>
          <w:sz w:val="16"/>
          <w:szCs w:val="16"/>
          <w:color w:val="auto"/>
        </w:rPr>
      </w:pPr>
      <w:r>
        <w:rPr>
          <w:rFonts w:ascii="Arial" w:cs="Arial" w:eastAsia="Arial" w:hAnsi="Arial"/>
          <w:sz w:val="16"/>
          <w:szCs w:val="16"/>
          <w:i w:val="1"/>
          <w:iCs w:val="1"/>
          <w:color w:val="auto"/>
        </w:rPr>
        <w:t>Filing and Effectiveness of Registration Statement</w:t>
      </w:r>
      <w:r>
        <w:rPr>
          <w:rFonts w:ascii="Arial" w:cs="Arial" w:eastAsia="Arial" w:hAnsi="Arial"/>
          <w:sz w:val="16"/>
          <w:szCs w:val="16"/>
          <w:color w:val="auto"/>
        </w:rPr>
        <w:t>. Certain terms are defined at the end of this subsection. The Company has filed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a registration statement on Form F-1 (No. 333-136825) covering the registration of the Common Shares underlying the Offered Securities under the Act, including a related preliminary prospectus or prospectuses. At any particular time, this initial registration statement, in the form then on file with the Commission, including all information contained in the registration statement (if any) pursuant to Rule 462(b) and then deemed to be a part of the initial registration statement, and all 430A Information and all 430C Information, that in any case has not then been superseded or modified, shall be referred to as the “</w:t>
      </w:r>
      <w:r>
        <w:rPr>
          <w:rFonts w:ascii="Arial" w:cs="Arial" w:eastAsia="Arial" w:hAnsi="Arial"/>
          <w:sz w:val="16"/>
          <w:szCs w:val="16"/>
          <w:b w:val="1"/>
          <w:bCs w:val="1"/>
          <w:color w:val="auto"/>
        </w:rPr>
        <w:t>Initial Registration Statement</w:t>
      </w:r>
      <w:r>
        <w:rPr>
          <w:rFonts w:ascii="Arial" w:cs="Arial" w:eastAsia="Arial" w:hAnsi="Arial"/>
          <w:sz w:val="16"/>
          <w:szCs w:val="16"/>
          <w:color w:val="auto"/>
        </w:rPr>
        <w:t>”. The Company may also have filed, or may file with the Commission, a Rule 462(b) registration statement covering the registration of Offered Securities. At any particular time, this Rule 462(b) registration statement, in the form then on file with the Commission, including the contents of the Initial Registration Statement incorporated by reference therein and including all 430A Information (as herein defined) and all 430C Information (as herein defined), that in any case has not then been superseded or modified, shall be referred to as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Company has also filed with the Commission a registration statement on Form F-6 (No. 333-136862) relating to the ADSs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representing the Common Shares (such registration statement on Form F-6, including all exhibits thereto, as amended at the time such registration statement becomes effective, being hereinafter called the “</w:t>
      </w:r>
      <w:r>
        <w:rPr>
          <w:rFonts w:ascii="Arial" w:cs="Arial" w:eastAsia="Arial" w:hAnsi="Arial"/>
          <w:sz w:val="16"/>
          <w:szCs w:val="16"/>
          <w:b w:val="1"/>
          <w:bCs w:val="1"/>
          <w:color w:val="auto"/>
        </w:rPr>
        <w:t>ADS Registration Statement</w:t>
      </w:r>
      <w:r>
        <w:rPr>
          <w:rFonts w:ascii="Arial" w:cs="Arial" w:eastAsia="Arial" w:hAnsi="Arial"/>
          <w:sz w:val="16"/>
          <w:szCs w:val="16"/>
          <w:color w:val="auto"/>
        </w:rPr>
        <w:t>”).</w:t>
      </w:r>
    </w:p>
    <w:p>
      <w:pPr>
        <w:spacing w:after="0" w:line="43"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As of the time of execution and delivery of this Agreement, the Initial Registration Statement and the ADS Registration Statement have been declared effective under the Act and are not proposed to be amended. Any Additional Registration Statement has or will become effective upon filing with the Commission pursuant to Rule 462(b) and is not proposed to be amended. The Offered Securities (including the Common Shares underlying the Offered Securities) all have been or will be duly registered under the Act pursuant to the Initial Registration Statement and the ADS Registration Statement and, if applicable, the Additional Registration Statement.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98" w:name="page199"/>
    <w:bookmarkEnd w:id="1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Agreement:</w:t>
      </w:r>
    </w:p>
    <w:p>
      <w:pPr>
        <w:spacing w:after="0" w:line="84" w:lineRule="exact"/>
        <w:rPr>
          <w:sz w:val="20"/>
          <w:szCs w:val="20"/>
          <w:color w:val="auto"/>
        </w:rPr>
      </w:pPr>
    </w:p>
    <w:p>
      <w:pPr>
        <w:ind w:right="2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430A Information</w:t>
      </w:r>
      <w:r>
        <w:rPr>
          <w:rFonts w:ascii="Arial" w:cs="Arial" w:eastAsia="Arial" w:hAnsi="Arial"/>
          <w:sz w:val="18"/>
          <w:szCs w:val="18"/>
          <w:color w:val="auto"/>
        </w:rPr>
        <w:t>”, with respect to any registration statement, means information included in a prospectus and retroactively deemed to be a part of such registration statement pursuant to Rule 430A(b).</w:t>
      </w:r>
    </w:p>
    <w:p>
      <w:pPr>
        <w:spacing w:after="0" w:line="39" w:lineRule="exact"/>
        <w:rPr>
          <w:sz w:val="20"/>
          <w:szCs w:val="20"/>
          <w:color w:val="auto"/>
        </w:rPr>
      </w:pPr>
    </w:p>
    <w:p>
      <w:pPr>
        <w:ind w:right="54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430C Information</w:t>
      </w:r>
      <w:r>
        <w:rPr>
          <w:rFonts w:ascii="Arial" w:cs="Arial" w:eastAsia="Arial" w:hAnsi="Arial"/>
          <w:sz w:val="18"/>
          <w:szCs w:val="18"/>
          <w:color w:val="auto"/>
        </w:rPr>
        <w:t>”, with respect to any registration statement, means information included in a prospectus then deemed to be a part of such registration statement pursuant to Rule 430C.</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Securities Act of 1933, as amended.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 [a.m./p.m.] (Eastern time) on the date of this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has the meaning defined in Section 4 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90" w:lineRule="exact"/>
        <w:rPr>
          <w:sz w:val="20"/>
          <w:szCs w:val="20"/>
          <w:color w:val="auto"/>
        </w:rPr>
      </w:pPr>
    </w:p>
    <w:p>
      <w:pPr>
        <w:ind w:right="1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with respect to the Initial Registration Statement or the Additional Registration Statement (if any) means the date of the Effective Time thereof.</w:t>
      </w:r>
    </w:p>
    <w:p>
      <w:pPr>
        <w:spacing w:after="0" w:line="39"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Time</w:t>
      </w:r>
      <w:r>
        <w:rPr>
          <w:rFonts w:ascii="Arial" w:cs="Arial" w:eastAsia="Arial" w:hAnsi="Arial"/>
          <w:sz w:val="16"/>
          <w:szCs w:val="16"/>
          <w:color w:val="auto"/>
        </w:rPr>
        <w:t>” with respect to the Initial Registration Statement or, if filed prior to the execution and delivery of this Agreement, the Additional Registration Statement means the date and time as of which such Registration Statement was declared effective by the Commission or has become effective upon filing pursuant to Rule 462(c). If an Additional Registration Statement has not been filed prior to the execution and delivery of this Agreement but the Company has advised the Representatives that it proposes to file one, “</w:t>
      </w:r>
      <w:r>
        <w:rPr>
          <w:rFonts w:ascii="Arial" w:cs="Arial" w:eastAsia="Arial" w:hAnsi="Arial"/>
          <w:sz w:val="16"/>
          <w:szCs w:val="16"/>
          <w:b w:val="1"/>
          <w:bCs w:val="1"/>
          <w:color w:val="auto"/>
        </w:rPr>
        <w:t>Effective Time</w:t>
      </w:r>
      <w:r>
        <w:rPr>
          <w:rFonts w:ascii="Arial" w:cs="Arial" w:eastAsia="Arial" w:hAnsi="Arial"/>
          <w:sz w:val="16"/>
          <w:szCs w:val="16"/>
          <w:color w:val="auto"/>
        </w:rPr>
        <w:t>” with respect to such Additional Registration Statement means the date and time as of which such Registration Statement is filed and becomes effective pursuant to Rule 462(b).</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90" w:lineRule="exact"/>
        <w:rPr>
          <w:sz w:val="20"/>
          <w:szCs w:val="20"/>
          <w:color w:val="auto"/>
        </w:rPr>
      </w:pPr>
    </w:p>
    <w:p>
      <w:pPr>
        <w:ind w:right="40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Prospectus</w:t>
      </w:r>
      <w:r>
        <w:rPr>
          <w:rFonts w:ascii="Arial" w:cs="Arial" w:eastAsia="Arial" w:hAnsi="Arial"/>
          <w:sz w:val="18"/>
          <w:szCs w:val="18"/>
          <w:color w:val="auto"/>
        </w:rPr>
        <w:t>” means the Statutory Prospectus that discloses the public offering price, other 430A Information and other final terms of the Offered Securities and otherwise satisfies Section 10(a) of the Act.</w:t>
      </w:r>
    </w:p>
    <w:p>
      <w:pPr>
        <w:spacing w:after="0" w:line="39" w:lineRule="exact"/>
        <w:rPr>
          <w:sz w:val="20"/>
          <w:szCs w:val="20"/>
          <w:color w:val="auto"/>
        </w:rPr>
      </w:pPr>
    </w:p>
    <w:p>
      <w:pPr>
        <w:ind w:right="24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Issuer Free Writing Prospectus</w:t>
      </w:r>
      <w:r>
        <w:rPr>
          <w:rFonts w:ascii="Arial" w:cs="Arial" w:eastAsia="Arial" w:hAnsi="Arial"/>
          <w:sz w:val="18"/>
          <w:szCs w:val="18"/>
          <w:color w:val="auto"/>
        </w:rPr>
        <w:t>” means any Issuer Free Writing Prospectus that is intended for general distribution to prospective investors, as evidenced by its being so specified in Schedule C to this Agreement.</w:t>
      </w:r>
    </w:p>
    <w:p>
      <w:pPr>
        <w:spacing w:after="0" w:line="39" w:lineRule="exact"/>
        <w:rPr>
          <w:sz w:val="20"/>
          <w:szCs w:val="20"/>
          <w:color w:val="auto"/>
        </w:rPr>
      </w:pPr>
    </w:p>
    <w:p>
      <w:pPr>
        <w:ind w:right="60" w:firstLine="438"/>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means any “issuer free writing prospectus,” as defined in Rule 433, relating to the Offered Securities in the form filed or required to be filed with the Commission or, if not required to be filed, in the form retained in the Company’s records pursuant to Rule 433(g).</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Limited Use Issuer Free Writing Prospectus</w:t>
      </w:r>
      <w:r>
        <w:rPr>
          <w:rFonts w:ascii="Arial" w:cs="Arial" w:eastAsia="Arial" w:hAnsi="Arial"/>
          <w:sz w:val="15"/>
          <w:szCs w:val="15"/>
          <w:color w:val="auto"/>
        </w:rPr>
        <w:t>” means any Issuer Free Writing Prospectus that is not a General Use Issuer Free Writing Prospectus.</w:t>
      </w:r>
    </w:p>
    <w:p>
      <w:pPr>
        <w:spacing w:after="0" w:line="125" w:lineRule="exact"/>
        <w:rPr>
          <w:sz w:val="20"/>
          <w:szCs w:val="20"/>
          <w:color w:val="auto"/>
        </w:rPr>
      </w:pPr>
    </w:p>
    <w:p>
      <w:pPr>
        <w:ind w:right="260" w:firstLine="438"/>
        <w:spacing w:after="0" w:line="296"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Registration Statement</w:t>
      </w:r>
      <w:r>
        <w:rPr>
          <w:rFonts w:ascii="Arial" w:cs="Arial" w:eastAsia="Arial" w:hAnsi="Arial"/>
          <w:sz w:val="16"/>
          <w:szCs w:val="16"/>
          <w:color w:val="auto"/>
        </w:rPr>
        <w:t>” at any particular time means the Initial Registration Statement and any Additional Registration Statement as of such time. A “</w:t>
      </w:r>
      <w:r>
        <w:rPr>
          <w:rFonts w:ascii="Arial" w:cs="Arial" w:eastAsia="Arial" w:hAnsi="Arial"/>
          <w:sz w:val="16"/>
          <w:szCs w:val="16"/>
          <w:b w:val="1"/>
          <w:bCs w:val="1"/>
          <w:color w:val="auto"/>
        </w:rPr>
        <w:t>Registration Statement</w:t>
      </w:r>
      <w:r>
        <w:rPr>
          <w:rFonts w:ascii="Arial" w:cs="Arial" w:eastAsia="Arial" w:hAnsi="Arial"/>
          <w:sz w:val="16"/>
          <w:szCs w:val="16"/>
          <w:color w:val="auto"/>
        </w:rPr>
        <w:t>” without reference to a time means such Registration Statement as of its Effective Time. The Initial Registration Statement and the Additional Registration Statement are referred to collectively as the “</w:t>
      </w:r>
      <w:r>
        <w:rPr>
          <w:rFonts w:ascii="Arial" w:cs="Arial" w:eastAsia="Arial" w:hAnsi="Arial"/>
          <w:sz w:val="16"/>
          <w:szCs w:val="16"/>
          <w:b w:val="1"/>
          <w:bCs w:val="1"/>
          <w:color w:val="auto"/>
        </w:rPr>
        <w:t>Registration Statements</w:t>
      </w:r>
      <w:r>
        <w:rPr>
          <w:rFonts w:ascii="Arial" w:cs="Arial" w:eastAsia="Arial" w:hAnsi="Arial"/>
          <w:sz w:val="16"/>
          <w:szCs w:val="16"/>
          <w:color w:val="auto"/>
        </w:rPr>
        <w:t>” and individually as a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For purposes of the foregoing definitions, 430A Information with respect to a Registration Statement shall be considered to be included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Registration Statement as of the time specified in Rule 430A.</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199" w:name="page200"/>
    <w:bookmarkEnd w:id="19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Rules and Regulations</w:t>
      </w:r>
      <w:r>
        <w:rPr>
          <w:rFonts w:ascii="Arial" w:cs="Arial" w:eastAsia="Arial" w:hAnsi="Arial"/>
          <w:sz w:val="18"/>
          <w:szCs w:val="18"/>
          <w:color w:val="auto"/>
        </w:rPr>
        <w:t>” means the rules and regulations of the Commission.</w:t>
      </w:r>
    </w:p>
    <w:p>
      <w:pPr>
        <w:spacing w:after="0" w:line="90"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Laws</w:t>
      </w:r>
      <w:r>
        <w:rPr>
          <w:rFonts w:ascii="Arial" w:cs="Arial" w:eastAsia="Arial" w:hAnsi="Arial"/>
          <w:sz w:val="18"/>
          <w:szCs w:val="18"/>
          <w:color w:val="auto"/>
        </w:rPr>
        <w:t>” means, collectively, the Sarbanes-Oxley Act of 2002 (“</w:t>
      </w:r>
      <w:r>
        <w:rPr>
          <w:rFonts w:ascii="Arial" w:cs="Arial" w:eastAsia="Arial" w:hAnsi="Arial"/>
          <w:sz w:val="18"/>
          <w:szCs w:val="18"/>
          <w:b w:val="1"/>
          <w:bCs w:val="1"/>
          <w:color w:val="auto"/>
        </w:rPr>
        <w:t>Sarbanes-Oxley</w:t>
      </w:r>
      <w:r>
        <w:rPr>
          <w:rFonts w:ascii="Arial" w:cs="Arial" w:eastAsia="Arial" w:hAnsi="Arial"/>
          <w:sz w:val="18"/>
          <w:szCs w:val="18"/>
          <w:color w:val="auto"/>
        </w:rPr>
        <w:t>”), the Act, the Exchange Act, the Rules and Regulations, the auditing principles, rules, standards and practices applicable to auditors of “issuers” (as defined in Sarbanes-Oxley) promulgated or approved by the Public Company Accounting Oversight Board and, as applicable, the rules of the New York Stock Exchange and the NASDAQ Stock Market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Rules</w:t>
      </w:r>
      <w:r>
        <w:rPr>
          <w:rFonts w:ascii="Arial" w:cs="Arial" w:eastAsia="Arial" w:hAnsi="Arial"/>
          <w:sz w:val="18"/>
          <w:szCs w:val="18"/>
          <w:color w:val="auto"/>
        </w:rPr>
        <w:t>”).</w:t>
      </w:r>
    </w:p>
    <w:p>
      <w:pPr>
        <w:spacing w:after="0" w:line="55" w:lineRule="exact"/>
        <w:rPr>
          <w:sz w:val="20"/>
          <w:szCs w:val="20"/>
          <w:color w:val="auto"/>
        </w:rPr>
      </w:pPr>
    </w:p>
    <w:p>
      <w:pPr>
        <w:ind w:right="80" w:firstLine="4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Prospectus</w:t>
      </w:r>
      <w:r>
        <w:rPr>
          <w:rFonts w:ascii="Arial" w:cs="Arial" w:eastAsia="Arial" w:hAnsi="Arial"/>
          <w:sz w:val="18"/>
          <w:szCs w:val="18"/>
          <w:color w:val="auto"/>
        </w:rPr>
        <w:t>” as of any time means the prospectus included in a Registration Statement immediately prior to that time, including any 430A Information or 430C Information with respect to such Registration Statement. For purposes of the foregoing definition, 430A Information shall be considered to be included in the Statutory Prospectus as of the actual time that form of prospectus is filed with the Commission pursuant to Rule 424(b) or Rule 462(c) and not retroactively.</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specified, a reference to a “rule” is to the indicated rule under the Act.</w:t>
      </w:r>
    </w:p>
    <w:p>
      <w:pPr>
        <w:spacing w:after="0" w:line="90" w:lineRule="exact"/>
        <w:rPr>
          <w:sz w:val="20"/>
          <w:szCs w:val="20"/>
          <w:color w:val="auto"/>
        </w:rPr>
      </w:pPr>
    </w:p>
    <w:p>
      <w:pPr>
        <w:ind w:firstLine="443"/>
        <w:spacing w:after="0" w:line="306" w:lineRule="auto"/>
        <w:tabs>
          <w:tab w:leader="none" w:pos="687" w:val="left"/>
        </w:tabs>
        <w:numPr>
          <w:ilvl w:val="0"/>
          <w:numId w:val="135"/>
        </w:numPr>
        <w:rPr>
          <w:rFonts w:ascii="Arial" w:cs="Arial" w:eastAsia="Arial" w:hAnsi="Arial"/>
          <w:sz w:val="15"/>
          <w:szCs w:val="15"/>
          <w:color w:val="auto"/>
        </w:rPr>
      </w:pPr>
      <w:r>
        <w:rPr>
          <w:rFonts w:ascii="Arial" w:cs="Arial" w:eastAsia="Arial" w:hAnsi="Arial"/>
          <w:sz w:val="15"/>
          <w:szCs w:val="15"/>
          <w:i w:val="1"/>
          <w:iCs w:val="1"/>
          <w:color w:val="auto"/>
        </w:rPr>
        <w:t>Compliance with Securities Act Requirements</w:t>
      </w:r>
      <w:r>
        <w:rPr>
          <w:rFonts w:ascii="Arial" w:cs="Arial" w:eastAsia="Arial" w:hAnsi="Arial"/>
          <w:sz w:val="15"/>
          <w:szCs w:val="15"/>
          <w:color w:val="auto"/>
        </w:rPr>
        <w:t>. (i) On its respective Effective Date, on the date of this Agreement and on each Closing Date, each</w:t>
      </w:r>
      <w:r>
        <w:rPr>
          <w:rFonts w:ascii="Arial" w:cs="Arial" w:eastAsia="Arial" w:hAnsi="Arial"/>
          <w:sz w:val="15"/>
          <w:szCs w:val="15"/>
          <w:i w:val="1"/>
          <w:iCs w:val="1"/>
          <w:color w:val="auto"/>
        </w:rPr>
        <w:t xml:space="preserve"> </w:t>
      </w:r>
      <w:r>
        <w:rPr>
          <w:rFonts w:ascii="Arial" w:cs="Arial" w:eastAsia="Arial" w:hAnsi="Arial"/>
          <w:sz w:val="15"/>
          <w:szCs w:val="15"/>
          <w:color w:val="auto"/>
        </w:rPr>
        <w:t>of the Initial Registration Statement, the ADS Registration Statement and the Additional Registration Statement (if any) conformed and will conform in all material respects to the requirements of the Act and the Rules and Regulations and did not and will not include any untrue statement of a material fact or omit to state any material fact required to be stated therein or necessary to make the statements therein not misleading; (ii) on the date of this Agreement, and at the time of filing of the Final Prospectus pursuant to Rule 424(b) or (if no such filing is required) at the Effective Date of the Additional Registration Statement in which the Final Prospectus is included, the Final Prospectus will conform in all material respects to the requirements of the Act and the Rules and Regulations and will not include any untrue statement of a material fact or omit to state any material fact required to be stated therein or necessary to make the statements therein not misleading; and (iii) on the date of this Agreement, on their respective Effective Dates or issue dates and on each Closing Date, each Registration Statement, the ADS Registration Statement, the Final Prospectus, any Statutory Prospectus, any prospectus wrapper and any Issuer Free Writing Prospectus complied or comply, and such documents and any further amendments or supplements thereto will comply, with any applicable laws or regulations of foreign jurisdictions in which the Final Prospectus, any Statutory Prospectus, any prospectus wrapper or any Issuer Free Writing Final Prospectus, as amended or supplemented, if applicable, are distributed in connection with the Directed Share Program. The preceding sentences do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Section 8(b) hereof.</w:t>
      </w:r>
    </w:p>
    <w:p>
      <w:pPr>
        <w:spacing w:after="0" w:line="9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74" w:right="279" w:bottom="1440" w:gutter="0" w:footer="0" w:header="0"/>
        </w:sectPr>
      </w:pPr>
    </w:p>
    <w:bookmarkStart w:id="200" w:name="page201"/>
    <w:bookmarkEnd w:id="200"/>
    <w:p>
      <w:pPr>
        <w:ind w:right="20" w:firstLine="443"/>
        <w:spacing w:after="0" w:line="291" w:lineRule="auto"/>
        <w:tabs>
          <w:tab w:leader="none" w:pos="677"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Ineligible Issuer Status</w:t>
      </w:r>
      <w:r>
        <w:rPr>
          <w:rFonts w:ascii="Arial" w:cs="Arial" w:eastAsia="Arial" w:hAnsi="Arial"/>
          <w:sz w:val="16"/>
          <w:szCs w:val="16"/>
          <w:color w:val="auto"/>
        </w:rPr>
        <w:t>. (i) At the time of initial filing of the Initial Registration Statement; and (ii) at the date of this Agreement,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was not and is not an “ineligible issuer,” as defined in Rule 405, including (A) the Company or any Subsidiary in the preceding three years not having been convicted of a felony or misdemeanor or having been made the subject of a judicial or administrative decree or order as described in Rule 405; and (B) the Company in the preceding three years not having been the subject of a bankruptcy petition or insolvency or similar proceeding, not having had a registration statement be the subject of a proceeding under Section 8 of the Act and not being the subject of a proceeding under Section 8A of the Act in connection with the offering of the Offered Securities, all as described in Rule 405.</w:t>
      </w:r>
    </w:p>
    <w:p>
      <w:pPr>
        <w:spacing w:after="0" w:line="39" w:lineRule="exact"/>
        <w:rPr>
          <w:rFonts w:ascii="Arial" w:cs="Arial" w:eastAsia="Arial" w:hAnsi="Arial"/>
          <w:sz w:val="16"/>
          <w:szCs w:val="16"/>
          <w:color w:val="auto"/>
        </w:rPr>
      </w:pPr>
    </w:p>
    <w:p>
      <w:pPr>
        <w:ind w:firstLine="443"/>
        <w:spacing w:after="0" w:line="288" w:lineRule="auto"/>
        <w:tabs>
          <w:tab w:leader="none" w:pos="687"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General Disclosure Package</w:t>
      </w:r>
      <w:r>
        <w:rPr>
          <w:rFonts w:ascii="Arial" w:cs="Arial" w:eastAsia="Arial" w:hAnsi="Arial"/>
          <w:sz w:val="16"/>
          <w:szCs w:val="16"/>
          <w:color w:val="auto"/>
        </w:rPr>
        <w:t>. As of the Applicable Time, (i) the General Use Issuer Free Writing Prospectus(es) issued at or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Time, the preliminary prospectus dated August 22, 2006 (which is the most recent Statutory Prospectus distributed to investors generally) and the other information, if any, stated in Schedule C to this Agreement to be included in the General Disclosure Package, all considered together (collectively, the “</w:t>
      </w:r>
      <w:r>
        <w:rPr>
          <w:rFonts w:ascii="Arial" w:cs="Arial" w:eastAsia="Arial" w:hAnsi="Arial"/>
          <w:sz w:val="16"/>
          <w:szCs w:val="16"/>
          <w:b w:val="1"/>
          <w:bCs w:val="1"/>
          <w:color w:val="auto"/>
        </w:rPr>
        <w:t>General Disclosure Package</w:t>
      </w:r>
      <w:r>
        <w:rPr>
          <w:rFonts w:ascii="Arial" w:cs="Arial" w:eastAsia="Arial" w:hAnsi="Arial"/>
          <w:sz w:val="16"/>
          <w:szCs w:val="16"/>
          <w:color w:val="auto"/>
        </w:rPr>
        <w:t>”); and (ii) the individual Limited Use Issuer Free Writing Prospectus(es), if any, specified in Schedule D to this Agreement, when considered together with the General Disclosure Package, did not include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8(b) hereof.</w:t>
      </w:r>
    </w:p>
    <w:p>
      <w:pPr>
        <w:spacing w:after="0" w:line="38" w:lineRule="exact"/>
        <w:rPr>
          <w:rFonts w:ascii="Arial" w:cs="Arial" w:eastAsia="Arial" w:hAnsi="Arial"/>
          <w:sz w:val="16"/>
          <w:szCs w:val="16"/>
          <w:color w:val="auto"/>
        </w:rPr>
      </w:pPr>
    </w:p>
    <w:p>
      <w:pPr>
        <w:ind w:right="40" w:firstLine="443"/>
        <w:spacing w:after="0" w:line="287" w:lineRule="auto"/>
        <w:tabs>
          <w:tab w:leader="none" w:pos="677"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Each Issuer Free Writing Prospectus, as of its issue date and at all subsequent times through the completion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public offer and sale of the Offered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Representatives; and (ii) the Company has promptly amended or will promptly amend or supplement such Issuer Free Writing Prospectus to eliminate or correct such conflict, untrue statement or omission.</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201" w:name="page202"/>
    <w:bookmarkEnd w:id="201"/>
    <w:p>
      <w:pPr>
        <w:ind w:firstLine="443"/>
        <w:spacing w:after="0" w:line="294" w:lineRule="auto"/>
        <w:tabs>
          <w:tab w:leader="none" w:pos="657"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Good standing of the Company</w:t>
      </w:r>
      <w:r>
        <w:rPr>
          <w:rFonts w:ascii="Arial" w:cs="Arial" w:eastAsia="Arial" w:hAnsi="Arial"/>
          <w:sz w:val="16"/>
          <w:szCs w:val="16"/>
          <w:color w:val="auto"/>
        </w:rPr>
        <w:t>. The Company has been duly incorporated and is validly existing as a corporation in good standing under the laws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Cayman Islands, with power and authority (corporate and other) to own its properties and conduct its business as described in the General Disclosure Package; and the Company is duly qualified to do business as a foreign corporation in good standing in all other jurisdictions in which its ownership or lease of property or the conduct of its business requires such qualification. The Memorandum and Articles of Association of the Company comply with the requirements of applicable Cayman Islands law and are in full force and effect.</w:t>
      </w:r>
    </w:p>
    <w:p>
      <w:pPr>
        <w:spacing w:after="0" w:line="34" w:lineRule="exact"/>
        <w:rPr>
          <w:rFonts w:ascii="Arial" w:cs="Arial" w:eastAsia="Arial" w:hAnsi="Arial"/>
          <w:sz w:val="16"/>
          <w:szCs w:val="16"/>
          <w:color w:val="auto"/>
        </w:rPr>
      </w:pPr>
    </w:p>
    <w:p>
      <w:pPr>
        <w:ind w:right="20" w:firstLine="443"/>
        <w:spacing w:after="0" w:line="286" w:lineRule="auto"/>
        <w:tabs>
          <w:tab w:leader="none" w:pos="687"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Subsidiaries and Affiliated Entities</w:t>
      </w:r>
      <w:r>
        <w:rPr>
          <w:rFonts w:ascii="Arial" w:cs="Arial" w:eastAsia="Arial" w:hAnsi="Arial"/>
          <w:sz w:val="16"/>
          <w:szCs w:val="16"/>
          <w:color w:val="auto"/>
        </w:rPr>
        <w:t>. Each of (i) New Oriental Education Corporation, Beijing Judgment Education &amp; Consulting Co., Ltd.,</w:t>
      </w:r>
      <w:r>
        <w:rPr>
          <w:rFonts w:ascii="Arial" w:cs="Arial" w:eastAsia="Arial" w:hAnsi="Arial"/>
          <w:sz w:val="16"/>
          <w:szCs w:val="16"/>
          <w:i w:val="1"/>
          <w:iCs w:val="1"/>
          <w:color w:val="auto"/>
        </w:rPr>
        <w:t xml:space="preserve"> </w:t>
      </w:r>
      <w:r>
        <w:rPr>
          <w:rFonts w:ascii="Arial" w:cs="Arial" w:eastAsia="Arial" w:hAnsi="Arial"/>
          <w:sz w:val="16"/>
          <w:szCs w:val="16"/>
          <w:color w:val="auto"/>
        </w:rPr>
        <w:t>Beijing Hewstone Technology Co., Ltd. and Beijing Decision Education and Consulting Co., Ltd. (each a “</w:t>
      </w:r>
      <w:r>
        <w:rPr>
          <w:rFonts w:ascii="Arial" w:cs="Arial" w:eastAsia="Arial" w:hAnsi="Arial"/>
          <w:sz w:val="16"/>
          <w:szCs w:val="16"/>
          <w:b w:val="1"/>
          <w:bCs w:val="1"/>
          <w:color w:val="auto"/>
        </w:rPr>
        <w:t>Subsidiary</w:t>
      </w:r>
      <w:r>
        <w:rPr>
          <w:rFonts w:ascii="Arial" w:cs="Arial" w:eastAsia="Arial" w:hAnsi="Arial"/>
          <w:sz w:val="16"/>
          <w:szCs w:val="16"/>
          <w:color w:val="auto"/>
        </w:rPr>
        <w:t>” and collectively called the “</w:t>
      </w:r>
      <w:r>
        <w:rPr>
          <w:rFonts w:ascii="Arial" w:cs="Arial" w:eastAsia="Arial" w:hAnsi="Arial"/>
          <w:sz w:val="16"/>
          <w:szCs w:val="16"/>
          <w:b w:val="1"/>
          <w:bCs w:val="1"/>
          <w:color w:val="auto"/>
        </w:rPr>
        <w:t>Subsidiaries</w:t>
      </w:r>
      <w:r>
        <w:rPr>
          <w:rFonts w:ascii="Arial" w:cs="Arial" w:eastAsia="Arial" w:hAnsi="Arial"/>
          <w:sz w:val="16"/>
          <w:szCs w:val="16"/>
          <w:color w:val="auto"/>
        </w:rPr>
        <w:t>”); and (ii) Beijing New Oriental Education &amp; Technology (Group) Co., Ltd., including each of its subsidiaries and each of the schools operated by it (the “</w:t>
      </w:r>
      <w:r>
        <w:rPr>
          <w:rFonts w:ascii="Arial" w:cs="Arial" w:eastAsia="Arial" w:hAnsi="Arial"/>
          <w:sz w:val="16"/>
          <w:szCs w:val="16"/>
          <w:b w:val="1"/>
          <w:bCs w:val="1"/>
          <w:color w:val="auto"/>
        </w:rPr>
        <w:t>Consolidated Affiliated Entities</w:t>
      </w:r>
      <w:r>
        <w:rPr>
          <w:rFonts w:ascii="Arial" w:cs="Arial" w:eastAsia="Arial" w:hAnsi="Arial"/>
          <w:sz w:val="16"/>
          <w:szCs w:val="16"/>
          <w:color w:val="auto"/>
        </w:rPr>
        <w:t>” and together with the Subsidiaries, collectively called the “</w:t>
      </w:r>
      <w:r>
        <w:rPr>
          <w:rFonts w:ascii="Arial" w:cs="Arial" w:eastAsia="Arial" w:hAnsi="Arial"/>
          <w:sz w:val="16"/>
          <w:szCs w:val="16"/>
          <w:b w:val="1"/>
          <w:bCs w:val="1"/>
          <w:color w:val="auto"/>
        </w:rPr>
        <w:t>Subsidiaries and Affiliated Entities</w:t>
      </w:r>
      <w:r>
        <w:rPr>
          <w:rFonts w:ascii="Arial" w:cs="Arial" w:eastAsia="Arial" w:hAnsi="Arial"/>
          <w:sz w:val="16"/>
          <w:szCs w:val="16"/>
          <w:color w:val="auto"/>
        </w:rPr>
        <w:t>”), has been duly incorporated and is validly existing as a corporation in good standing under the laws of the jurisdiction of its incorporation, with power and authority (corporate and other) to own its properties and conduct its business as described in the General Disclosure Package; and each of the Subsidiaries and Affiliated Entities is duly qualified to do business as a foreign corporation in good standing in all other jurisdictions in which its ownership or lease of property or the conduct of its business requires such qualification; all of the issued and outstanding capital stock of each of the Subsidiaries and Affiliated Entities has been duly authorized and validly issued and is fully paid and nonassessable; and the capital stock of each of the Subsidiaries and Affiliated Entities owned by the Company, directly or through Subsidiaries, is owned free from liens, encumbrances and defects. None of the outstanding shares of capital stock or equity interest in any of the Subsidiaries and Affiliated Entities was issued in violation of preemptive or similar rights of any securityholder of such entity. The Memorandum and Articles of Association or other constitutive or organizational documents of each of the Subsidiaries and Affiliated Entities comply with the requirements of applicable law in its jurisdiction of incorporation and are in full force and effect.</w:t>
      </w:r>
    </w:p>
    <w:p>
      <w:pPr>
        <w:spacing w:after="0" w:line="39" w:lineRule="exact"/>
        <w:rPr>
          <w:rFonts w:ascii="Arial" w:cs="Arial" w:eastAsia="Arial" w:hAnsi="Arial"/>
          <w:sz w:val="16"/>
          <w:szCs w:val="16"/>
          <w:color w:val="auto"/>
        </w:rPr>
      </w:pPr>
    </w:p>
    <w:p>
      <w:pPr>
        <w:ind w:right="60" w:firstLine="443"/>
        <w:spacing w:after="0" w:line="290" w:lineRule="auto"/>
        <w:tabs>
          <w:tab w:leader="none" w:pos="687"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Offered Securities</w:t>
      </w:r>
      <w:r>
        <w:rPr>
          <w:rFonts w:ascii="Arial" w:cs="Arial" w:eastAsia="Arial" w:hAnsi="Arial"/>
          <w:sz w:val="16"/>
          <w:szCs w:val="16"/>
          <w:color w:val="auto"/>
        </w:rPr>
        <w:t>. The Offered Securities and all other outstanding shares of capital stock of the Company have been duly authorized;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equity capitalization of the Company is as set forth in the General Disclosure Package; all outstanding shares of capital stock of the Company are, and, when the Offered Securities have been delivered and paid for in accordance with this Agreement on each Closing Date, such Offered Securities will have been, validly issued, fully paid and nonassessable, will be consistent with the information in the General Disclosure Package and will conform to the description thereof contained in the Final Prospectus; the stockholders of the Company have no preemptive rights with respect to the Common Shares; and none of the outstanding shares of capital stock of the Company have been issued in violation of any preemptive, resale, right of first refusal or similar rights of any security holder.</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202" w:name="page203"/>
    <w:bookmarkEnd w:id="202"/>
    <w:p>
      <w:pPr>
        <w:ind w:right="20" w:firstLine="443"/>
        <w:spacing w:after="0" w:line="288" w:lineRule="auto"/>
        <w:tabs>
          <w:tab w:leader="none" w:pos="648"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 encumbrance on Offered Securities. </w:t>
      </w:r>
      <w:r>
        <w:rPr>
          <w:rFonts w:ascii="Arial" w:cs="Arial" w:eastAsia="Arial" w:hAnsi="Arial"/>
          <w:sz w:val="16"/>
          <w:szCs w:val="16"/>
          <w:color w:val="auto"/>
        </w:rPr>
        <w:t>The Offered Securities and the underlying Common Shares to be sold by the Company, when issued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against payment heretofore pursuant to this Agreement, will not be subject to any security interest, other encumbrance or adverse claims, and have been issued in compliance with all applicable securities laws. Upon payment of the purchase price in accordance with this Agreement at each Closing Date, the Depositary or its nominee, as the registered holder of the Common Shares represented by the Offered Securities, will be, subject to the terms of the Deposit Agreement, entitled to all the rights of a shareholder conferred by the Memorandum and Articles of Association of the Company; except as disclosed in the General Disclosure Package and subject to the terms and provisions of the Deposit Agreement, there are no restrictions on transfers of Common Shares or the Offered Securities under the laws of the Cayman Islands or the United States, as the case may be. The Common Shares represented by the Offered Securities may be freely deposited by the Company with the Depositary or its nominee against issuance of ADRs evidencing the Offered Securities as contemplated by the Deposit Agreement.</w:t>
      </w:r>
    </w:p>
    <w:p>
      <w:pPr>
        <w:spacing w:after="0" w:line="38" w:lineRule="exact"/>
        <w:rPr>
          <w:rFonts w:ascii="Arial" w:cs="Arial" w:eastAsia="Arial" w:hAnsi="Arial"/>
          <w:sz w:val="16"/>
          <w:szCs w:val="16"/>
          <w:color w:val="auto"/>
        </w:rPr>
      </w:pPr>
    </w:p>
    <w:p>
      <w:pPr>
        <w:ind w:firstLine="443"/>
        <w:spacing w:after="0" w:line="298" w:lineRule="auto"/>
        <w:tabs>
          <w:tab w:leader="none" w:pos="648"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 xml:space="preserve">Share Capital. </w:t>
      </w:r>
      <w:r>
        <w:rPr>
          <w:rFonts w:ascii="Arial" w:cs="Arial" w:eastAsia="Arial" w:hAnsi="Arial"/>
          <w:sz w:val="16"/>
          <w:szCs w:val="16"/>
          <w:color w:val="auto"/>
        </w:rPr>
        <w:t>The Company has authorized and outstanding capital as set forth in the General Disclosure Package and the Final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“Capitalization” under the caption “Actual” as of the date specified therein and, upon (i) the automatic conversion of all of the Company’s outstanding preferred shares, par value $0.01 per share (the “</w:t>
      </w:r>
      <w:r>
        <w:rPr>
          <w:rFonts w:ascii="Arial" w:cs="Arial" w:eastAsia="Arial" w:hAnsi="Arial"/>
          <w:sz w:val="16"/>
          <w:szCs w:val="16"/>
          <w:b w:val="1"/>
          <w:bCs w:val="1"/>
          <w:color w:val="auto"/>
        </w:rPr>
        <w:t>Preferred Shares</w:t>
      </w:r>
      <w:r>
        <w:rPr>
          <w:rFonts w:ascii="Arial" w:cs="Arial" w:eastAsia="Arial" w:hAnsi="Arial"/>
          <w:sz w:val="16"/>
          <w:szCs w:val="16"/>
          <w:color w:val="auto"/>
        </w:rPr>
        <w:t>”), as described in the General Disclosure Package; and (ii) the issuance and sale of the Firm Securities, the Company shall have outstanding capital as set forth under the caption “Pro Forma As Adjusted”.</w:t>
      </w:r>
    </w:p>
    <w:p>
      <w:pPr>
        <w:spacing w:after="0" w:line="31" w:lineRule="exact"/>
        <w:rPr>
          <w:rFonts w:ascii="Arial" w:cs="Arial" w:eastAsia="Arial" w:hAnsi="Arial"/>
          <w:sz w:val="16"/>
          <w:szCs w:val="16"/>
          <w:color w:val="auto"/>
        </w:rPr>
      </w:pPr>
    </w:p>
    <w:p>
      <w:pPr>
        <w:ind w:right="60" w:firstLine="443"/>
        <w:spacing w:after="0" w:line="259" w:lineRule="auto"/>
        <w:tabs>
          <w:tab w:leader="none" w:pos="687"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No Finder’s Fee</w:t>
      </w:r>
      <w:r>
        <w:rPr>
          <w:rFonts w:ascii="Arial" w:cs="Arial" w:eastAsia="Arial" w:hAnsi="Arial"/>
          <w:sz w:val="18"/>
          <w:szCs w:val="18"/>
          <w:color w:val="auto"/>
        </w:rPr>
        <w:t>. Except as disclosed in the General Disclosure Package, there is no contract, agreement or understanding between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person that would give rise to a valid claim against the Company or any Underwriter for a brokerage commission, finder’s fee or other like payment in connection with this offering.</w:t>
      </w:r>
    </w:p>
    <w:p>
      <w:pPr>
        <w:spacing w:after="0" w:line="59" w:lineRule="exact"/>
        <w:rPr>
          <w:rFonts w:ascii="Arial" w:cs="Arial" w:eastAsia="Arial" w:hAnsi="Arial"/>
          <w:sz w:val="18"/>
          <w:szCs w:val="18"/>
          <w:color w:val="auto"/>
        </w:rPr>
      </w:pPr>
    </w:p>
    <w:p>
      <w:pPr>
        <w:ind w:firstLine="443"/>
        <w:spacing w:after="0" w:line="291" w:lineRule="auto"/>
        <w:tabs>
          <w:tab w:leader="none" w:pos="648"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Registration Rights</w:t>
      </w:r>
      <w:r>
        <w:rPr>
          <w:rFonts w:ascii="Arial" w:cs="Arial" w:eastAsia="Arial" w:hAnsi="Arial"/>
          <w:sz w:val="16"/>
          <w:szCs w:val="16"/>
          <w:color w:val="auto"/>
        </w:rPr>
        <w:t>. Except as disclosed in the General Disclosure Package, there are no contracts, agreements or understandings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 (collectively, “</w:t>
      </w:r>
      <w:r>
        <w:rPr>
          <w:rFonts w:ascii="Arial" w:cs="Arial" w:eastAsia="Arial" w:hAnsi="Arial"/>
          <w:sz w:val="16"/>
          <w:szCs w:val="16"/>
          <w:b w:val="1"/>
          <w:bCs w:val="1"/>
          <w:color w:val="auto"/>
        </w:rPr>
        <w:t>registration rights</w:t>
      </w:r>
      <w:r>
        <w:rPr>
          <w:rFonts w:ascii="Arial" w:cs="Arial" w:eastAsia="Arial" w:hAnsi="Arial"/>
          <w:sz w:val="16"/>
          <w:szCs w:val="16"/>
          <w:color w:val="auto"/>
        </w:rPr>
        <w:t>”), and any person to whom the Company has granted registration rights has agreed not to exercise such rights until after the expiration of the Lock-Up Period referred to in Section 5 hereof.</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80" w:right="279" w:bottom="1440" w:gutter="0" w:footer="0" w:header="0"/>
        </w:sectPr>
      </w:pPr>
    </w:p>
    <w:bookmarkStart w:id="203" w:name="page204"/>
    <w:bookmarkEnd w:id="203"/>
    <w:p>
      <w:pPr>
        <w:ind w:left="740" w:hanging="297"/>
        <w:spacing w:after="0"/>
        <w:tabs>
          <w:tab w:leader="none" w:pos="740"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Listing</w:t>
      </w:r>
      <w:r>
        <w:rPr>
          <w:rFonts w:ascii="Arial" w:cs="Arial" w:eastAsia="Arial" w:hAnsi="Arial"/>
          <w:sz w:val="16"/>
          <w:szCs w:val="16"/>
          <w:color w:val="auto"/>
        </w:rPr>
        <w:t>. The Offered Securities have been approved for listing on The New York Stock Exchange, Inc. (“</w:t>
      </w:r>
      <w:r>
        <w:rPr>
          <w:rFonts w:ascii="Arial" w:cs="Arial" w:eastAsia="Arial" w:hAnsi="Arial"/>
          <w:sz w:val="16"/>
          <w:szCs w:val="16"/>
          <w:b w:val="1"/>
          <w:bCs w:val="1"/>
          <w:color w:val="auto"/>
        </w:rPr>
        <w:t>NYSE</w:t>
      </w:r>
      <w:r>
        <w:rPr>
          <w:rFonts w:ascii="Arial" w:cs="Arial" w:eastAsia="Arial" w:hAnsi="Arial"/>
          <w:sz w:val="16"/>
          <w:szCs w:val="16"/>
          <w:color w:val="auto"/>
        </w:rPr>
        <w:t>”), subject to notice of issuance.</w:t>
      </w:r>
    </w:p>
    <w:p>
      <w:pPr>
        <w:spacing w:after="0" w:line="119" w:lineRule="exact"/>
        <w:rPr>
          <w:rFonts w:ascii="Arial" w:cs="Arial" w:eastAsia="Arial" w:hAnsi="Arial"/>
          <w:sz w:val="16"/>
          <w:szCs w:val="16"/>
          <w:color w:val="auto"/>
        </w:rPr>
      </w:pPr>
    </w:p>
    <w:p>
      <w:pPr>
        <w:ind w:right="380" w:firstLine="443"/>
        <w:spacing w:after="0" w:line="302" w:lineRule="auto"/>
        <w:tabs>
          <w:tab w:leader="none" w:pos="687" w:val="left"/>
        </w:tabs>
        <w:numPr>
          <w:ilvl w:val="0"/>
          <w:numId w:val="139"/>
        </w:numPr>
        <w:rPr>
          <w:rFonts w:ascii="Arial" w:cs="Arial" w:eastAsia="Arial" w:hAnsi="Arial"/>
          <w:sz w:val="15"/>
          <w:szCs w:val="15"/>
          <w:color w:val="auto"/>
        </w:rPr>
      </w:pPr>
      <w:r>
        <w:rPr>
          <w:rFonts w:ascii="Arial" w:cs="Arial" w:eastAsia="Arial" w:hAnsi="Arial"/>
          <w:sz w:val="15"/>
          <w:szCs w:val="15"/>
          <w:i w:val="1"/>
          <w:iCs w:val="1"/>
          <w:color w:val="auto"/>
        </w:rPr>
        <w:t>Absence of Further Requirements for Transaction</w:t>
      </w:r>
      <w:r>
        <w:rPr>
          <w:rFonts w:ascii="Arial" w:cs="Arial" w:eastAsia="Arial" w:hAnsi="Arial"/>
          <w:sz w:val="15"/>
          <w:szCs w:val="15"/>
          <w:color w:val="auto"/>
        </w:rPr>
        <w:t>. No consent, approval, authorization, or order of, or filing or registration with, any person</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any governmental agency or body or any court) is required for the consummation of the transactions contemplated by this Agreement or the Deposit Agreement in connection with the offering, issuance and sale of the Offered Securities by the Company, except such as have been obtained, or made and such as may be required under state securities laws and the rules and regulations of the National Association of Securities Dealers, Inc.</w:t>
      </w:r>
    </w:p>
    <w:p>
      <w:pPr>
        <w:spacing w:after="0" w:line="2" w:lineRule="exact"/>
        <w:rPr>
          <w:rFonts w:ascii="Arial" w:cs="Arial" w:eastAsia="Arial" w:hAnsi="Arial"/>
          <w:sz w:val="15"/>
          <w:szCs w:val="15"/>
          <w:color w:val="auto"/>
        </w:rPr>
      </w:pPr>
    </w:p>
    <w:p>
      <w:pPr>
        <w:ind w:right="20"/>
        <w:spacing w:after="0" w:line="331" w:lineRule="auto"/>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NASD</w:t>
      </w:r>
      <w:r>
        <w:rPr>
          <w:rFonts w:ascii="Arial" w:cs="Arial" w:eastAsia="Arial" w:hAnsi="Arial"/>
          <w:sz w:val="15"/>
          <w:szCs w:val="15"/>
          <w:color w:val="auto"/>
        </w:rPr>
        <w:t>”). No authorization, consent, approval, license, qualification or order of, or filing or registration with any person (including any governmental agency or body or any court) in any foreign jurisdiction is required for the consummation of the transactions contemplated by this Agreement in connection with the offering, issuance and sale of the Directed Shares under the laws and regulations of such jurisdiction except such as have been obtained or made.</w:t>
      </w:r>
    </w:p>
    <w:p>
      <w:pPr>
        <w:spacing w:after="0" w:line="9" w:lineRule="exact"/>
        <w:rPr>
          <w:rFonts w:ascii="Arial" w:cs="Arial" w:eastAsia="Arial" w:hAnsi="Arial"/>
          <w:sz w:val="15"/>
          <w:szCs w:val="15"/>
          <w:color w:val="auto"/>
        </w:rPr>
      </w:pPr>
    </w:p>
    <w:p>
      <w:pPr>
        <w:ind w:right="100" w:firstLine="443"/>
        <w:spacing w:after="0" w:line="294" w:lineRule="auto"/>
        <w:tabs>
          <w:tab w:leader="none" w:pos="687"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Title to Property</w:t>
      </w:r>
      <w:r>
        <w:rPr>
          <w:rFonts w:ascii="Arial" w:cs="Arial" w:eastAsia="Arial" w:hAnsi="Arial"/>
          <w:sz w:val="16"/>
          <w:szCs w:val="16"/>
          <w:color w:val="auto"/>
        </w:rPr>
        <w:t>. Excepts as disclosed in the General Disclosure Package, the Company and each of the Subsidiaries and Affiliated Entities have</w:t>
      </w:r>
      <w:r>
        <w:rPr>
          <w:rFonts w:ascii="Arial" w:cs="Arial" w:eastAsia="Arial" w:hAnsi="Arial"/>
          <w:sz w:val="16"/>
          <w:szCs w:val="16"/>
          <w:i w:val="1"/>
          <w:iCs w:val="1"/>
          <w:color w:val="auto"/>
        </w:rPr>
        <w:t xml:space="preserve"> </w:t>
      </w:r>
      <w:r>
        <w:rPr>
          <w:rFonts w:ascii="Arial" w:cs="Arial" w:eastAsia="Arial" w:hAnsi="Arial"/>
          <w:sz w:val="16"/>
          <w:szCs w:val="16"/>
          <w:color w:val="auto"/>
        </w:rPr>
        <w:t>good and marketable title to all real properties and all other properties and assets owned by them, in each case free from liens, charges, encumbrances and defects that would materially affect the value thereof or materially interfere with the use made or to be made thereof by them. The Company and each of the Subsidiaries and Affiliated Entities hold any leased real or personal property under valid and enforceable leases with no terms or provisions that would materially interfere with the use made or to be made thereof by them.</w:t>
      </w:r>
    </w:p>
    <w:p>
      <w:pPr>
        <w:spacing w:after="0" w:line="34" w:lineRule="exact"/>
        <w:rPr>
          <w:rFonts w:ascii="Arial" w:cs="Arial" w:eastAsia="Arial" w:hAnsi="Arial"/>
          <w:sz w:val="16"/>
          <w:szCs w:val="16"/>
          <w:color w:val="auto"/>
        </w:rPr>
      </w:pPr>
    </w:p>
    <w:p>
      <w:pPr>
        <w:ind w:firstLine="443"/>
        <w:spacing w:after="0" w:line="286" w:lineRule="auto"/>
        <w:tabs>
          <w:tab w:leader="none" w:pos="687"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Absence of Defaults and Conflicts Resulting from Transaction</w:t>
      </w:r>
      <w:r>
        <w:rPr>
          <w:rFonts w:ascii="Arial" w:cs="Arial" w:eastAsia="Arial" w:hAnsi="Arial"/>
          <w:sz w:val="16"/>
          <w:szCs w:val="16"/>
          <w:color w:val="auto"/>
        </w:rPr>
        <w:t>. The execution, delivery and performance of this Agreement and the Deposit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the issuance and sale of the Offered Securities will not result in a breach or violation of any of the terms and provisions of, or constitute a default or a Debt Repayment Triggering Event (as defined below) under, or result in the imposition of any lien, charge or encumbrance upon any property or assets of the Company or any of the Subsidiaries and Affiliated Entities pursuant to, the charter or by-laws of the Company or any of the Subsidiaries and Affiliated Entities, any statute, rule, regulation or order of any governmental agency or body or any court, domestic or foreign, having jurisdiction over the Company or any of the Subsidiaries and Affiliated Entities or any of their properties, or any agreement or instrument to which the Company or any of the Subsidiaries and Affiliated Entities is a party or by which the Company or any of the Subsidiaries and Affiliated Entities is bound or to which any of the properties of the Company or any of the Subsidiaries and Affiliated Entities is subject;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the Subsidiaries and Affiliated Entities.</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204" w:name="page205"/>
    <w:bookmarkEnd w:id="204"/>
    <w:p>
      <w:pPr>
        <w:ind w:right="160" w:firstLine="443"/>
        <w:spacing w:after="0" w:line="291" w:lineRule="auto"/>
        <w:tabs>
          <w:tab w:leader="none" w:pos="687"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Absence of Existing Defaults and Conflicts</w:t>
      </w:r>
      <w:r>
        <w:rPr>
          <w:rFonts w:ascii="Arial" w:cs="Arial" w:eastAsia="Arial" w:hAnsi="Arial"/>
          <w:sz w:val="16"/>
          <w:szCs w:val="16"/>
          <w:color w:val="auto"/>
        </w:rPr>
        <w:t>. Neither the Company nor any of the Subsidiaries and Affiliated Entities is in violation of its</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charter or by-laws or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defaults that would not, individually or in the aggregate, result in a material adverse effect on the condition (financial or otherwise), results of operations, business, properties or prospects of the Company and the Subsidiaries and Affiliated Entities taken as a whole (“</w:t>
      </w:r>
      <w:r>
        <w:rPr>
          <w:rFonts w:ascii="Arial" w:cs="Arial" w:eastAsia="Arial" w:hAnsi="Arial"/>
          <w:sz w:val="16"/>
          <w:szCs w:val="16"/>
          <w:b w:val="1"/>
          <w:bCs w:val="1"/>
          <w:color w:val="auto"/>
        </w:rPr>
        <w:t>Material Adverse Effect</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left="660" w:hanging="217"/>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Authorization of Underwriting Agreement</w:t>
      </w:r>
      <w:r>
        <w:rPr>
          <w:rFonts w:ascii="Arial" w:cs="Arial" w:eastAsia="Arial" w:hAnsi="Arial"/>
          <w:sz w:val="18"/>
          <w:szCs w:val="18"/>
          <w:color w:val="auto"/>
        </w:rPr>
        <w:t>. This Agreement has been duly authorized, executed and delivered by the Company.</w:t>
      </w:r>
    </w:p>
    <w:p>
      <w:pPr>
        <w:spacing w:after="0" w:line="90" w:lineRule="exact"/>
        <w:rPr>
          <w:rFonts w:ascii="Arial" w:cs="Arial" w:eastAsia="Arial" w:hAnsi="Arial"/>
          <w:sz w:val="18"/>
          <w:szCs w:val="18"/>
          <w:color w:val="auto"/>
        </w:rPr>
      </w:pPr>
    </w:p>
    <w:p>
      <w:pPr>
        <w:ind w:right="200" w:firstLine="443"/>
        <w:spacing w:after="0" w:line="298" w:lineRule="auto"/>
        <w:tabs>
          <w:tab w:leader="none" w:pos="667"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 xml:space="preserve">Authorization of Registration Statements. </w:t>
      </w:r>
      <w:r>
        <w:rPr>
          <w:rFonts w:ascii="Arial" w:cs="Arial" w:eastAsia="Arial" w:hAnsi="Arial"/>
          <w:sz w:val="16"/>
          <w:szCs w:val="16"/>
          <w:color w:val="auto"/>
        </w:rPr>
        <w:t>The Registration Statements, the General Disclosure Package, the Final Prospectus and the ADS</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and the filing of the Registration Statements, the General Disclosure Package, the Final Prospectus and the ADS Registration Statement with the Commission, have each been duly authorized by and on behalf of the Company, and each of the Registration Statements and the ADS Registration Statement has been duly executed pursuant to such authorization by and on behalf of the Company.</w:t>
      </w:r>
    </w:p>
    <w:p>
      <w:pPr>
        <w:spacing w:after="0" w:line="31" w:lineRule="exact"/>
        <w:rPr>
          <w:rFonts w:ascii="Arial" w:cs="Arial" w:eastAsia="Arial" w:hAnsi="Arial"/>
          <w:sz w:val="16"/>
          <w:szCs w:val="16"/>
          <w:color w:val="auto"/>
        </w:rPr>
      </w:pPr>
    </w:p>
    <w:p>
      <w:pPr>
        <w:ind w:right="80" w:firstLine="443"/>
        <w:spacing w:after="0" w:line="291" w:lineRule="auto"/>
        <w:tabs>
          <w:tab w:leader="none" w:pos="648"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 xml:space="preserve">Authorization of Deposit Agreement. </w:t>
      </w:r>
      <w:r>
        <w:rPr>
          <w:rFonts w:ascii="Arial" w:cs="Arial" w:eastAsia="Arial" w:hAnsi="Arial"/>
          <w:sz w:val="16"/>
          <w:szCs w:val="16"/>
          <w:color w:val="auto"/>
        </w:rPr>
        <w:t>The Deposit Agreement has been duly authorized, executed and delivered by the Company and, assuming</w:t>
      </w:r>
      <w:r>
        <w:rPr>
          <w:rFonts w:ascii="Arial" w:cs="Arial" w:eastAsia="Arial" w:hAnsi="Arial"/>
          <w:sz w:val="16"/>
          <w:szCs w:val="16"/>
          <w:i w:val="1"/>
          <w:iCs w:val="1"/>
          <w:color w:val="auto"/>
        </w:rPr>
        <w:t xml:space="preserve"> </w:t>
      </w:r>
      <w:r>
        <w:rPr>
          <w:rFonts w:ascii="Arial" w:cs="Arial" w:eastAsia="Arial" w:hAnsi="Arial"/>
          <w:sz w:val="16"/>
          <w:szCs w:val="16"/>
          <w:color w:val="auto"/>
        </w:rPr>
        <w:t>due authorization, execution and delivery by the Depositary, constitutes a valid and legally binding obligation of the Company, enforceable in accordance with its terms. Upon due issuance by the Depositary of the ADRs evidencing the Offered Securities against the deposit of the underlying Common Shares in respect thereof in accordance with the provisions of the Deposit Agreement, such ADRs will be duly and validly issued and the persons in whose names the ADRs are registered will be entitled to the rights specified therein and in the Deposit Agreement. The Deposit Agreement and the ADRs conform in all material respects to the descriptions thereof contained in the General Disclosure Package.</w:t>
      </w:r>
    </w:p>
    <w:p>
      <w:pPr>
        <w:spacing w:after="0" w:line="39" w:lineRule="exact"/>
        <w:rPr>
          <w:rFonts w:ascii="Arial" w:cs="Arial" w:eastAsia="Arial" w:hAnsi="Arial"/>
          <w:sz w:val="16"/>
          <w:szCs w:val="16"/>
          <w:color w:val="auto"/>
        </w:rPr>
      </w:pPr>
    </w:p>
    <w:p>
      <w:pPr>
        <w:ind w:firstLine="443"/>
        <w:spacing w:after="0" w:line="253" w:lineRule="auto"/>
        <w:tabs>
          <w:tab w:leader="none" w:pos="687"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Possession of Licenses and Permits</w:t>
      </w:r>
      <w:r>
        <w:rPr>
          <w:rFonts w:ascii="Arial" w:cs="Arial" w:eastAsia="Arial" w:hAnsi="Arial"/>
          <w:sz w:val="18"/>
          <w:szCs w:val="18"/>
          <w:color w:val="auto"/>
        </w:rPr>
        <w:t>. Except as disclosed in the General Disclosure Package, the Company and the Subsidiaries and Affiliated</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possess, and are in compliance with the terms of, all adequate certificates, authorizations, franchises, licenses and permits (“</w:t>
      </w:r>
      <w:r>
        <w:rPr>
          <w:rFonts w:ascii="Arial" w:cs="Arial" w:eastAsia="Arial" w:hAnsi="Arial"/>
          <w:sz w:val="18"/>
          <w:szCs w:val="18"/>
          <w:b w:val="1"/>
          <w:bCs w:val="1"/>
          <w:color w:val="auto"/>
        </w:rPr>
        <w:t>Licenses</w:t>
      </w:r>
      <w:r>
        <w:rPr>
          <w:rFonts w:ascii="Arial" w:cs="Arial" w:eastAsia="Arial" w:hAnsi="Arial"/>
          <w:sz w:val="18"/>
          <w:szCs w:val="18"/>
          <w:color w:val="auto"/>
        </w:rPr>
        <w:t>”) necessary or material to the conduct of the business now conducted or proposed in the General Disclosure Package to be conducted by them and have not received any notice of proceedings relating to the revocation or modification of any Licenses that, if determined adversely to the Company or any of the Subsidiaries and Affiliated Entities, would individually or in the aggregate have a Material Adverse Effect. All of the Licenses possessed by the Company and the Subsidiaries and Affiliated Entities are valid and in full force and effect, and none of the Licenses contains any materially burdensome restriction or condition.</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205" w:name="page206"/>
    <w:bookmarkEnd w:id="205"/>
    <w:p>
      <w:pPr>
        <w:ind w:firstLine="443"/>
        <w:spacing w:after="0" w:line="289" w:lineRule="auto"/>
        <w:tabs>
          <w:tab w:leader="none" w:pos="687"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Contractual Arrangements. </w:t>
      </w:r>
      <w:r>
        <w:rPr>
          <w:rFonts w:ascii="Arial" w:cs="Arial" w:eastAsia="Arial" w:hAnsi="Arial"/>
          <w:sz w:val="16"/>
          <w:szCs w:val="16"/>
          <w:color w:val="auto"/>
        </w:rPr>
        <w:t>The description of the corporate structure of the Company and the various contracts between the Company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and Affiliated Entities or shareholders of the Subsidiaries and Affiliated Entities, or between Subsidiaries and Affiliated Entities, as the case may be (each a “</w:t>
      </w:r>
      <w:r>
        <w:rPr>
          <w:rFonts w:ascii="Arial" w:cs="Arial" w:eastAsia="Arial" w:hAnsi="Arial"/>
          <w:sz w:val="16"/>
          <w:szCs w:val="16"/>
          <w:b w:val="1"/>
          <w:bCs w:val="1"/>
          <w:color w:val="auto"/>
        </w:rPr>
        <w:t>Corporate Structure Contract</w:t>
      </w:r>
      <w:r>
        <w:rPr>
          <w:rFonts w:ascii="Arial" w:cs="Arial" w:eastAsia="Arial" w:hAnsi="Arial"/>
          <w:sz w:val="16"/>
          <w:szCs w:val="16"/>
          <w:color w:val="auto"/>
        </w:rPr>
        <w:t>” and collectively the “</w:t>
      </w:r>
      <w:r>
        <w:rPr>
          <w:rFonts w:ascii="Arial" w:cs="Arial" w:eastAsia="Arial" w:hAnsi="Arial"/>
          <w:sz w:val="16"/>
          <w:szCs w:val="16"/>
          <w:b w:val="1"/>
          <w:bCs w:val="1"/>
          <w:color w:val="auto"/>
        </w:rPr>
        <w:t>Corporate Structure Contracts</w:t>
      </w:r>
      <w:r>
        <w:rPr>
          <w:rFonts w:ascii="Arial" w:cs="Arial" w:eastAsia="Arial" w:hAnsi="Arial"/>
          <w:sz w:val="16"/>
          <w:szCs w:val="16"/>
          <w:color w:val="auto"/>
        </w:rPr>
        <w:t>”), as set forth in the General Disclosure Package under the captions “Corporate Structure” and “Related Party Transactions” and filed as Exhibits 99.2 to 99.8 to the Initial Registration Statement, is true and accurate in all material respects and nothing has been omitted from such description which would make it misleading in any material respect. There is no other agreement, contract or other document relating to the corporate structure or the operation of the Company and the Subsidiaries and Affiliated Entities which has not been previously disclosed or made available to the Underwriters and, to the extent material to the Company, disclosed in the General Disclosure Package.</w:t>
      </w:r>
    </w:p>
    <w:p>
      <w:pPr>
        <w:spacing w:after="0" w:line="37" w:lineRule="exact"/>
        <w:rPr>
          <w:rFonts w:ascii="Arial" w:cs="Arial" w:eastAsia="Arial" w:hAnsi="Arial"/>
          <w:sz w:val="16"/>
          <w:szCs w:val="16"/>
          <w:color w:val="auto"/>
        </w:rPr>
      </w:pPr>
    </w:p>
    <w:p>
      <w:pPr>
        <w:ind w:right="40" w:firstLine="443"/>
        <w:spacing w:after="0" w:line="253" w:lineRule="auto"/>
        <w:tabs>
          <w:tab w:leader="none" w:pos="726"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of Contractual Arrangements. </w:t>
      </w:r>
      <w:r>
        <w:rPr>
          <w:rFonts w:ascii="Arial" w:cs="Arial" w:eastAsia="Arial" w:hAnsi="Arial"/>
          <w:sz w:val="18"/>
          <w:szCs w:val="18"/>
          <w:color w:val="auto"/>
        </w:rPr>
        <w:t>Each Corporate Structure Contracts has been duly authorized, executed and delivered by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and constitutes a valid and legally binding obligation of the parties thereto, enforceable in accordance with its terms. No consent, approval, authorization, or order of, or filing or registration with, any person (including any governmental agency or body or any court) is required for the performance of the obligations under any Corporate Structure Contract by the parties thereto. There is no legal or governmental proceeding, inquiry or investigation pending against the Company, the Subsidiaries and Affiliated Entities or shareholders of the Subsidiaries and Affiliated Entities in any jurisdiction challenging the validity of any of the Corporate Structure Contracts and no such proceeding, inquiry or investigation is threatened or contemplated in any jurisdiction.</w:t>
      </w:r>
    </w:p>
    <w:p>
      <w:pPr>
        <w:spacing w:after="0" w:line="66" w:lineRule="exact"/>
        <w:rPr>
          <w:rFonts w:ascii="Arial" w:cs="Arial" w:eastAsia="Arial" w:hAnsi="Arial"/>
          <w:sz w:val="18"/>
          <w:szCs w:val="18"/>
          <w:color w:val="auto"/>
        </w:rPr>
      </w:pPr>
    </w:p>
    <w:p>
      <w:pPr>
        <w:ind w:firstLine="443"/>
        <w:spacing w:after="0" w:line="286" w:lineRule="auto"/>
        <w:tabs>
          <w:tab w:leader="none" w:pos="687"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Absence of Defaults and Conflicts Resulting from Contractual Arrangements</w:t>
      </w:r>
      <w:r>
        <w:rPr>
          <w:rFonts w:ascii="Arial" w:cs="Arial" w:eastAsia="Arial" w:hAnsi="Arial"/>
          <w:sz w:val="16"/>
          <w:szCs w:val="16"/>
          <w:color w:val="auto"/>
        </w:rPr>
        <w:t>. The execution, delivery and performance of each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Contract by the parties thereto do not and will not result in a breach or violation of any of the terms and provisions of, or constitute a default or a Debt Repayment Triggering Event under, or result in the imposition of any lien, charge or encumbrance upon any property or assets of the Company or any of the Subsidiaries and Affiliated Entities pursuant to, the charter or by-laws of the Company or any of the Subsidiaries and Affiliated Entities, any statute, rule, regulation or order of any governmental agency or body or any court, domestic or foreign, having jurisdiction over the Company or any of the Subsidiaries and Affiliated Entities or any of their properties, or any agreement or instrument to which the Company or any of the Subsidiaries and Affiliated Entities is a party or by which the Company or any of the Subsidiaries and Affiliated Entities is bound or to which any of the properties of the Company or any of the Subsidiaries and Affiliated Entities is subject. Each Corporate Structure Contract is in full force and effect and none of the parties thereto is in breach or default in the performance of any of the terms or provisions of such Corporate Structure Contract. None of the parties to any of the Corporate Structure Contracts has sent or received any communication regarding termination of, or intention not to renew, any of the Corporate Structure Contracts, and no such termination or non-renewal has been threatened or is being contemplated by any of the parties thereto.</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206" w:name="page207"/>
    <w:bookmarkEnd w:id="206"/>
    <w:p>
      <w:pPr>
        <w:ind w:right="560" w:firstLine="443"/>
        <w:spacing w:after="0" w:line="306" w:lineRule="auto"/>
        <w:tabs>
          <w:tab w:leader="none" w:pos="687"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 Other Related Party Transaction. </w:t>
      </w:r>
      <w:r>
        <w:rPr>
          <w:rFonts w:ascii="Arial" w:cs="Arial" w:eastAsia="Arial" w:hAnsi="Arial"/>
          <w:sz w:val="16"/>
          <w:szCs w:val="16"/>
          <w:color w:val="auto"/>
        </w:rPr>
        <w:t>There is no material relationship or transaction between the Company or any of the Subsidiaries and</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Affiliated Entities on one hand and their respective 10% of greater shareholders, affiliates, directors or officers, or any affiliates or members of the immediate families of such persons, on the other hand, that is not disclosed in the General Disclosure Package.</w:t>
      </w:r>
    </w:p>
    <w:p>
      <w:pPr>
        <w:spacing w:after="0" w:line="25" w:lineRule="exact"/>
        <w:rPr>
          <w:rFonts w:ascii="Arial" w:cs="Arial" w:eastAsia="Arial" w:hAnsi="Arial"/>
          <w:sz w:val="16"/>
          <w:szCs w:val="16"/>
          <w:color w:val="auto"/>
        </w:rPr>
      </w:pPr>
    </w:p>
    <w:p>
      <w:pPr>
        <w:jc w:val="both"/>
        <w:ind w:firstLine="443"/>
        <w:spacing w:after="0" w:line="306" w:lineRule="auto"/>
        <w:tabs>
          <w:tab w:leader="none" w:pos="677"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Absence of Labor Dispute</w:t>
      </w:r>
      <w:r>
        <w:rPr>
          <w:rFonts w:ascii="Arial" w:cs="Arial" w:eastAsia="Arial" w:hAnsi="Arial"/>
          <w:sz w:val="16"/>
          <w:szCs w:val="16"/>
          <w:color w:val="auto"/>
        </w:rPr>
        <w:t>. No labor dispute with the employees of the Company or any of the Subsidiaries and Affiliated Entities exists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is imminent, and the Company is not aware of any existing or imminent labor disturbance by the employees of any of its or the Subsidiaries and Affiliated Entities’ principal suppliers, contractors or customers, that, in any such case, could have a Material Adverse Effect.</w:t>
      </w:r>
    </w:p>
    <w:p>
      <w:pPr>
        <w:spacing w:after="0" w:line="26" w:lineRule="exact"/>
        <w:rPr>
          <w:sz w:val="20"/>
          <w:szCs w:val="20"/>
          <w:color w:val="auto"/>
        </w:rPr>
      </w:pPr>
    </w:p>
    <w:p>
      <w:pPr>
        <w:ind w:right="60" w:firstLine="443"/>
        <w:spacing w:after="0" w:line="282" w:lineRule="auto"/>
        <w:tabs>
          <w:tab w:leader="none" w:pos="755" w:val="left"/>
        </w:tabs>
        <w:numPr>
          <w:ilvl w:val="1"/>
          <w:numId w:val="143"/>
        </w:numPr>
        <w:rPr>
          <w:rFonts w:ascii="Arial" w:cs="Arial" w:eastAsia="Arial" w:hAnsi="Arial"/>
          <w:sz w:val="16"/>
          <w:szCs w:val="16"/>
          <w:color w:val="auto"/>
        </w:rPr>
      </w:pPr>
      <w:r>
        <w:rPr>
          <w:rFonts w:ascii="Arial" w:cs="Arial" w:eastAsia="Arial" w:hAnsi="Arial"/>
          <w:sz w:val="16"/>
          <w:szCs w:val="16"/>
          <w:i w:val="1"/>
          <w:iCs w:val="1"/>
          <w:color w:val="auto"/>
        </w:rPr>
        <w:t>Possession of Intellectual Property</w:t>
      </w:r>
      <w:r>
        <w:rPr>
          <w:rFonts w:ascii="Arial" w:cs="Arial" w:eastAsia="Arial" w:hAnsi="Arial"/>
          <w:sz w:val="16"/>
          <w:szCs w:val="16"/>
          <w:color w:val="auto"/>
        </w:rPr>
        <w:t>. Except as disclosed in the General Disclosure Package, the Company and the Subsidiaries and Affiliated</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own, possess or can acquire on reasonable terms sufficient trademarks, trade names, patent rights, copyrights, domain names, licenses, approvals, trade secrets, inventions, technology, know-how and other intellectual property and similar rights, including registrations and applications for registration thereof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or material to the conduct of the business now conducted or proposed in the General Disclosure Package to be conducted by them, and the expected expiration of any such Intellectual Property Rights would not, individually or in the aggregate, have a Material Adverse Effect. Except as disclosed in the General Disclosure Package (i) there are no rights of third parties to any of the Intellectual Property Rights owned by the Company or the Subsidiaries and Affiliated Entities; (ii) there is no material infringement, misappropriation breach, default or other violation, or the occurrence of any event that with notice or the passage of time would constitute any of the foregoing, by the Company, the Subsidiaries and Affiliated Entities or third parties of any of the Intellectual Property Rights of the Company or the Subsidiaries and Affiliated Entities; (iii) there is no pending or, to the best knowledge of the Company after due inquiry, threatened action, suit, proceeding or claim by others challenging the Company’s or any of the Subsidiaries and Affiliated Entities’ rights in or to, or the violation of any of the terms of, any of their Intellectual Property Rights, and the Company is unaware of any facts which would form a reasonable basis for any such claim; (iv) there is no pending or, to the best knowledge of the Company after due inquiry, threatened action, suit, proceeding or claim by others challenging the validity, enforceability or scope of any such Intellectual Property Rights, and the Company is unaware of any facts which would form a reasonable basis for any such claim;</w:t>
      </w:r>
    </w:p>
    <w:p>
      <w:pPr>
        <w:spacing w:after="0" w:line="4" w:lineRule="exact"/>
        <w:rPr>
          <w:rFonts w:ascii="Arial" w:cs="Arial" w:eastAsia="Arial" w:hAnsi="Arial"/>
          <w:sz w:val="16"/>
          <w:szCs w:val="16"/>
          <w:color w:val="auto"/>
        </w:rPr>
      </w:pPr>
    </w:p>
    <w:p>
      <w:pPr>
        <w:ind w:right="200" w:firstLine="4"/>
        <w:spacing w:after="0" w:line="300" w:lineRule="auto"/>
        <w:tabs>
          <w:tab w:leader="none" w:pos="249" w:val="left"/>
        </w:tabs>
        <w:numPr>
          <w:ilvl w:val="0"/>
          <w:numId w:val="144"/>
        </w:numPr>
        <w:rPr>
          <w:rFonts w:ascii="Arial" w:cs="Arial" w:eastAsia="Arial" w:hAnsi="Arial"/>
          <w:sz w:val="15"/>
          <w:szCs w:val="15"/>
          <w:color w:val="auto"/>
        </w:rPr>
      </w:pPr>
      <w:r>
        <w:rPr>
          <w:rFonts w:ascii="Arial" w:cs="Arial" w:eastAsia="Arial" w:hAnsi="Arial"/>
          <w:sz w:val="15"/>
          <w:szCs w:val="15"/>
          <w:color w:val="auto"/>
        </w:rPr>
        <w:t>except as previously disclosed to the Underwriters, there is no pending or, to the best knowledge of the Company after due inquiry, threatened action, suit, proceeding or claim by others that the Company or any of the Subsidiaries and Affiliated Entities infringes, misappropriates or otherwise violates or conflicts with any Intellectual Property Rights or other proprietary rights of others and the Company is unaware of any other fact which would form a reasonable basis for any such claim; and (vi) none of the Intellectual Property Rights used by the Company or the Subsidiaries and Affiliated Entities in their businesses has been obtained or is being used by the Company or the Subsidiaries and Affiliated Entities in violation of any contractual obligation binding on the Company, any of the Subsidiaries and Affiliated Entities in violation of the rights of any persons, except in each case covered by clauses</w:t>
      </w:r>
    </w:p>
    <w:p>
      <w:pPr>
        <w:spacing w:after="0" w:line="2" w:lineRule="exact"/>
        <w:rPr>
          <w:rFonts w:ascii="Arial" w:cs="Arial" w:eastAsia="Arial" w:hAnsi="Arial"/>
          <w:sz w:val="15"/>
          <w:szCs w:val="15"/>
          <w:color w:val="auto"/>
        </w:rPr>
      </w:pPr>
    </w:p>
    <w:p>
      <w:pPr>
        <w:ind w:right="600" w:firstLine="4"/>
        <w:spacing w:after="0" w:line="261" w:lineRule="auto"/>
        <w:tabs>
          <w:tab w:leader="none" w:pos="21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(vi) above such as would not, if determined adversely to the Company or any of the Subsidiaries and Affiliated Entities, individually or in the aggregate, have a Material Adverse Effect.</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207" w:name="page208"/>
    <w:bookmarkEnd w:id="207"/>
    <w:p>
      <w:pPr>
        <w:ind w:right="80" w:firstLine="443"/>
        <w:spacing w:after="0" w:line="290" w:lineRule="auto"/>
        <w:tabs>
          <w:tab w:leader="none" w:pos="775" w:val="left"/>
        </w:tabs>
        <w:numPr>
          <w:ilvl w:val="1"/>
          <w:numId w:val="14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Environmental Laws</w:t>
      </w:r>
      <w:r>
        <w:rPr>
          <w:rFonts w:ascii="Arial" w:cs="Arial" w:eastAsia="Arial" w:hAnsi="Arial"/>
          <w:sz w:val="16"/>
          <w:szCs w:val="16"/>
          <w:color w:val="auto"/>
        </w:rPr>
        <w:t>. Except as disclosed in the General Disclosure Package, neither the Company nor any of the Subsidiaries and Affiliated</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37" w:lineRule="exact"/>
        <w:rPr>
          <w:rFonts w:ascii="Arial" w:cs="Arial" w:eastAsia="Arial" w:hAnsi="Arial"/>
          <w:sz w:val="16"/>
          <w:szCs w:val="16"/>
          <w:color w:val="auto"/>
        </w:rPr>
      </w:pPr>
    </w:p>
    <w:p>
      <w:pPr>
        <w:ind w:right="20" w:firstLine="443"/>
        <w:spacing w:after="0" w:line="255" w:lineRule="auto"/>
        <w:tabs>
          <w:tab w:leader="none" w:pos="755" w:val="left"/>
        </w:tabs>
        <w:numPr>
          <w:ilvl w:val="1"/>
          <w:numId w:val="146"/>
        </w:numPr>
        <w:rPr>
          <w:rFonts w:ascii="Arial" w:cs="Arial" w:eastAsia="Arial" w:hAnsi="Arial"/>
          <w:sz w:val="18"/>
          <w:szCs w:val="18"/>
          <w:color w:val="auto"/>
        </w:rPr>
      </w:pPr>
      <w:r>
        <w:rPr>
          <w:rFonts w:ascii="Arial" w:cs="Arial" w:eastAsia="Arial" w:hAnsi="Arial"/>
          <w:sz w:val="18"/>
          <w:szCs w:val="18"/>
          <w:i w:val="1"/>
          <w:iCs w:val="1"/>
          <w:color w:val="auto"/>
        </w:rPr>
        <w:t>Accurate Disclosure</w:t>
      </w:r>
      <w:r>
        <w:rPr>
          <w:rFonts w:ascii="Arial" w:cs="Arial" w:eastAsia="Arial" w:hAnsi="Arial"/>
          <w:sz w:val="18"/>
          <w:szCs w:val="18"/>
          <w:color w:val="auto"/>
        </w:rPr>
        <w:t>. The statements in the General Disclosure Package and the Final Prospectus under the headings “Risk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“Enforceability of Civil Liabilities”, “Corporate Structure”, “Business – Intellectual Property”, “Regulations”, “Description of Share Capital”, “Description of American Depositary Shares”, “Taxation” and “Underwriting” insofar as such statements summarize legal matters, agreements, documents or proceedings discussed therein, are accurate and fair summaries of such legal matters, agreements, documents or proceedings and present the information required to be shown.</w:t>
      </w:r>
    </w:p>
    <w:p>
      <w:pPr>
        <w:spacing w:after="0" w:line="61" w:lineRule="exact"/>
        <w:rPr>
          <w:rFonts w:ascii="Arial" w:cs="Arial" w:eastAsia="Arial" w:hAnsi="Arial"/>
          <w:sz w:val="18"/>
          <w:szCs w:val="18"/>
          <w:color w:val="auto"/>
        </w:rPr>
      </w:pPr>
    </w:p>
    <w:p>
      <w:pPr>
        <w:ind w:right="440" w:firstLine="443"/>
        <w:spacing w:after="0" w:line="268" w:lineRule="auto"/>
        <w:tabs>
          <w:tab w:leader="none" w:pos="775" w:val="left"/>
        </w:tabs>
        <w:numPr>
          <w:ilvl w:val="1"/>
          <w:numId w:val="146"/>
        </w:numPr>
        <w:rPr>
          <w:rFonts w:ascii="Arial" w:cs="Arial" w:eastAsia="Arial" w:hAnsi="Arial"/>
          <w:sz w:val="18"/>
          <w:szCs w:val="18"/>
          <w:color w:val="auto"/>
        </w:rPr>
      </w:pPr>
      <w:r>
        <w:rPr>
          <w:rFonts w:ascii="Arial" w:cs="Arial" w:eastAsia="Arial" w:hAnsi="Arial"/>
          <w:sz w:val="18"/>
          <w:szCs w:val="18"/>
          <w:i w:val="1"/>
          <w:iCs w:val="1"/>
          <w:color w:val="auto"/>
        </w:rPr>
        <w:t>Statistical and Market-Related Data</w:t>
      </w:r>
      <w:r>
        <w:rPr>
          <w:rFonts w:ascii="Arial" w:cs="Arial" w:eastAsia="Arial" w:hAnsi="Arial"/>
          <w:sz w:val="18"/>
          <w:szCs w:val="18"/>
          <w:color w:val="auto"/>
        </w:rPr>
        <w:t>. Any third-party statistical and market-related data included in a Registration Statement or a 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are based on or derived from sources that the Company believes to be reliable and accurate.</w:t>
      </w:r>
    </w:p>
    <w:p>
      <w:pPr>
        <w:spacing w:after="0" w:line="50" w:lineRule="exact"/>
        <w:rPr>
          <w:rFonts w:ascii="Arial" w:cs="Arial" w:eastAsia="Arial" w:hAnsi="Arial"/>
          <w:sz w:val="18"/>
          <w:szCs w:val="18"/>
          <w:color w:val="auto"/>
        </w:rPr>
      </w:pPr>
    </w:p>
    <w:p>
      <w:pPr>
        <w:ind w:firstLine="443"/>
        <w:spacing w:after="0" w:line="283" w:lineRule="auto"/>
        <w:tabs>
          <w:tab w:leader="none" w:pos="755" w:val="left"/>
        </w:tabs>
        <w:numPr>
          <w:ilvl w:val="1"/>
          <w:numId w:val="146"/>
        </w:numPr>
        <w:rPr>
          <w:rFonts w:ascii="Arial" w:cs="Arial" w:eastAsia="Arial" w:hAnsi="Arial"/>
          <w:sz w:val="16"/>
          <w:szCs w:val="16"/>
          <w:color w:val="auto"/>
        </w:rPr>
      </w:pPr>
      <w:r>
        <w:rPr>
          <w:rFonts w:ascii="Arial" w:cs="Arial" w:eastAsia="Arial" w:hAnsi="Arial"/>
          <w:sz w:val="16"/>
          <w:szCs w:val="16"/>
          <w:i w:val="1"/>
          <w:iCs w:val="1"/>
          <w:color w:val="auto"/>
        </w:rPr>
        <w:t>Compliance with the Sarbanes-Oxley Act</w:t>
      </w:r>
      <w:r>
        <w:rPr>
          <w:rFonts w:ascii="Arial" w:cs="Arial" w:eastAsia="Arial" w:hAnsi="Arial"/>
          <w:sz w:val="16"/>
          <w:szCs w:val="16"/>
          <w:color w:val="auto"/>
        </w:rPr>
        <w:t>. Except as set forth in the General Disclosure Package, (i) the Company, the Subsidiaries and Affiliated</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and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are in compliance with Sarbanes-Oxley (as defined below) and all applicable Exchange Rules (as defined below); (ii) the Company has adopted and has or, upon consummation of the offering of the Offered Securities, will adopt corporate governance guidelines; (iii) except as disclosed in the General Disclosure Package, the Company maintains a system of internal controls, including, but not limited to, disclosure controls and procedures, internal control over financial reporting, an internal audit function and legal and regulatory compliance controls (collectively, “</w:t>
      </w:r>
      <w:r>
        <w:rPr>
          <w:rFonts w:ascii="Arial" w:cs="Arial" w:eastAsia="Arial" w:hAnsi="Arial"/>
          <w:sz w:val="16"/>
          <w:szCs w:val="16"/>
          <w:b w:val="1"/>
          <w:bCs w:val="1"/>
          <w:color w:val="auto"/>
        </w:rPr>
        <w:t>Internal Controls</w:t>
      </w:r>
      <w:r>
        <w:rPr>
          <w:rFonts w:ascii="Arial" w:cs="Arial" w:eastAsia="Arial" w:hAnsi="Arial"/>
          <w:sz w:val="16"/>
          <w:szCs w:val="16"/>
          <w:color w:val="auto"/>
        </w:rPr>
        <w:t>”), which complies with the Securities Laws (as defined below) and is or, upon consummation of the offering of the Offered Securities will be overseen by the Audit Committee (the “</w:t>
      </w:r>
      <w:r>
        <w:rPr>
          <w:rFonts w:ascii="Arial" w:cs="Arial" w:eastAsia="Arial" w:hAnsi="Arial"/>
          <w:sz w:val="16"/>
          <w:szCs w:val="16"/>
          <w:b w:val="1"/>
          <w:bCs w:val="1"/>
          <w:color w:val="auto"/>
        </w:rPr>
        <w:t>Audit Committee</w:t>
      </w:r>
      <w:r>
        <w:rPr>
          <w:rFonts w:ascii="Arial" w:cs="Arial" w:eastAsia="Arial" w:hAnsi="Arial"/>
          <w:sz w:val="16"/>
          <w:szCs w:val="16"/>
          <w:color w:val="auto"/>
        </w:rPr>
        <w:t>”) of the Board in accordance with Exchange Rules; and</w:t>
      </w:r>
    </w:p>
    <w:p>
      <w:pPr>
        <w:ind w:right="80" w:firstLine="4"/>
        <w:spacing w:after="0" w:line="253" w:lineRule="auto"/>
        <w:tabs>
          <w:tab w:leader="none" w:pos="29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except as disclosed in the General Disclosure Package, the Company has not publicly disclosed or reported to the Audit Committee or the Board, and within the next 135 days the Company does not reasonably expect to publicly disclose or report to the Audit Committee or the Board, a significant deficiency, material weakness, adverse change in Internal Controls or fraud involving management or other employees who have a significant role in Internal Controls (each, an “</w:t>
      </w:r>
      <w:r>
        <w:rPr>
          <w:rFonts w:ascii="Arial" w:cs="Arial" w:eastAsia="Arial" w:hAnsi="Arial"/>
          <w:sz w:val="18"/>
          <w:szCs w:val="18"/>
          <w:b w:val="1"/>
          <w:bCs w:val="1"/>
          <w:color w:val="auto"/>
        </w:rPr>
        <w:t>Internal Control Event</w:t>
      </w:r>
      <w:r>
        <w:rPr>
          <w:rFonts w:ascii="Arial" w:cs="Arial" w:eastAsia="Arial" w:hAnsi="Arial"/>
          <w:sz w:val="18"/>
          <w:szCs w:val="18"/>
          <w:color w:val="auto"/>
        </w:rPr>
        <w:t>”), any violation of, or failure to comply with, the Securities Laws, or any matter which, if determined adversely, would have a Material Adverse Effect.</w:t>
      </w:r>
    </w:p>
    <w:p>
      <w:pPr>
        <w:spacing w:after="0" w:line="13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208" w:name="page209"/>
    <w:bookmarkEnd w:id="208"/>
    <w:p>
      <w:pPr>
        <w:ind w:firstLine="443"/>
        <w:spacing w:after="0" w:line="294" w:lineRule="auto"/>
        <w:tabs>
          <w:tab w:leader="none" w:pos="713" w:val="left"/>
        </w:tabs>
        <w:numPr>
          <w:ilvl w:val="1"/>
          <w:numId w:val="14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Absence of Accounting Issues. </w:t>
      </w:r>
      <w:r>
        <w:rPr>
          <w:rFonts w:ascii="Arial" w:cs="Arial" w:eastAsia="Arial" w:hAnsi="Arial"/>
          <w:sz w:val="16"/>
          <w:szCs w:val="16"/>
          <w:color w:val="auto"/>
        </w:rPr>
        <w:t>A member of the Board has confirmed to the Chief Executive Officer, Chief Financial Officer or General Counsel</w:t>
      </w:r>
      <w:r>
        <w:rPr>
          <w:rFonts w:ascii="Arial" w:cs="Arial" w:eastAsia="Arial" w:hAnsi="Arial"/>
          <w:sz w:val="16"/>
          <w:szCs w:val="16"/>
          <w:i w:val="1"/>
          <w:iCs w:val="1"/>
          <w:color w:val="auto"/>
        </w:rPr>
        <w:t xml:space="preserve"> </w:t>
      </w:r>
      <w:r>
        <w:rPr>
          <w:rFonts w:ascii="Arial" w:cs="Arial" w:eastAsia="Arial" w:hAnsi="Arial"/>
          <w:sz w:val="16"/>
          <w:szCs w:val="16"/>
          <w:color w:val="auto"/>
        </w:rPr>
        <w:t>that, except as set forth in the General Disclosure Package, the Board is not reviewing or investigating, and neither the Company’s independent auditors nor its internal auditors have recommended that the Board review or investigate (i) adding to, deleting, changing the application of, or changing the Company’s disclosure with respect to, any of the Company’s material accounting policies; (ii) any matter which could result in a restatement of the Company’s financial statements for any annual or interim period during the current or prior three fiscal years; or (iii) any Internal Control Event.</w:t>
      </w:r>
    </w:p>
    <w:p>
      <w:pPr>
        <w:spacing w:after="0" w:line="34" w:lineRule="exact"/>
        <w:rPr>
          <w:rFonts w:ascii="Arial" w:cs="Arial" w:eastAsia="Arial" w:hAnsi="Arial"/>
          <w:sz w:val="16"/>
          <w:szCs w:val="16"/>
          <w:color w:val="auto"/>
        </w:rPr>
      </w:pPr>
    </w:p>
    <w:p>
      <w:pPr>
        <w:ind w:right="280" w:firstLine="443"/>
        <w:spacing w:after="0" w:line="305" w:lineRule="auto"/>
        <w:tabs>
          <w:tab w:leader="none" w:pos="775" w:val="left"/>
        </w:tabs>
        <w:numPr>
          <w:ilvl w:val="1"/>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Internal Controls. </w:t>
      </w:r>
      <w:r>
        <w:rPr>
          <w:rFonts w:ascii="Arial" w:cs="Arial" w:eastAsia="Arial" w:hAnsi="Arial"/>
          <w:sz w:val="15"/>
          <w:szCs w:val="15"/>
          <w:color w:val="auto"/>
        </w:rPr>
        <w:t>The Company and the Subsidiaries and Affiliated Entities, taken as a whole, maintains a system of internal accounting</w:t>
      </w:r>
      <w:r>
        <w:rPr>
          <w:rFonts w:ascii="Arial" w:cs="Arial" w:eastAsia="Arial" w:hAnsi="Arial"/>
          <w:sz w:val="15"/>
          <w:szCs w:val="15"/>
          <w:i w:val="1"/>
          <w:iCs w:val="1"/>
          <w:color w:val="auto"/>
        </w:rPr>
        <w:t xml:space="preserve"> </w:t>
      </w:r>
      <w:r>
        <w:rPr>
          <w:rFonts w:ascii="Arial" w:cs="Arial" w:eastAsia="Arial" w:hAnsi="Arial"/>
          <w:sz w:val="15"/>
          <w:szCs w:val="15"/>
          <w:color w:val="auto"/>
        </w:rPr>
        <w:t>controls sufficient to provide reasonable assurance that (i) transactions are executed in accordance with management’s general or specific authorization;</w:t>
      </w:r>
    </w:p>
    <w:p>
      <w:pPr>
        <w:ind w:right="180" w:firstLine="4"/>
        <w:spacing w:after="0" w:line="288" w:lineRule="auto"/>
        <w:tabs>
          <w:tab w:leader="none" w:pos="25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United States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Since the date of the latest audited financial statements included in the General Disclosure Package, there has been (A) no material weakness in the Company’s internal control over financial reporting (whether or not remedied); and (B) no change in the Company’s internal control over financial reporting that has resulted in a Material Adverse Affect or is reasonably likely to result in a Material Adverse Affect, including any corrective actions with regard to significant deficiencies and material weaknesses.</w:t>
      </w:r>
    </w:p>
    <w:p>
      <w:pPr>
        <w:spacing w:after="0" w:line="41" w:lineRule="exact"/>
        <w:rPr>
          <w:rFonts w:ascii="Arial" w:cs="Arial" w:eastAsia="Arial" w:hAnsi="Arial"/>
          <w:sz w:val="16"/>
          <w:szCs w:val="16"/>
          <w:color w:val="auto"/>
        </w:rPr>
      </w:pPr>
    </w:p>
    <w:p>
      <w:pPr>
        <w:ind w:right="60" w:firstLine="443"/>
        <w:spacing w:after="0" w:line="290" w:lineRule="auto"/>
        <w:tabs>
          <w:tab w:leader="none" w:pos="775" w:val="left"/>
        </w:tabs>
        <w:numPr>
          <w:ilvl w:val="1"/>
          <w:numId w:val="149"/>
        </w:numPr>
        <w:rPr>
          <w:rFonts w:ascii="Arial" w:cs="Arial" w:eastAsia="Arial" w:hAnsi="Arial"/>
          <w:sz w:val="16"/>
          <w:szCs w:val="16"/>
          <w:color w:val="auto"/>
        </w:rPr>
      </w:pPr>
      <w:r>
        <w:rPr>
          <w:rFonts w:ascii="Arial" w:cs="Arial" w:eastAsia="Arial" w:hAnsi="Arial"/>
          <w:sz w:val="16"/>
          <w:szCs w:val="16"/>
          <w:i w:val="1"/>
          <w:iCs w:val="1"/>
          <w:color w:val="auto"/>
        </w:rPr>
        <w:t>Litigation</w:t>
      </w:r>
      <w:r>
        <w:rPr>
          <w:rFonts w:ascii="Arial" w:cs="Arial" w:eastAsia="Arial" w:hAnsi="Arial"/>
          <w:sz w:val="16"/>
          <w:szCs w:val="16"/>
          <w:color w:val="auto"/>
        </w:rPr>
        <w:t>. Except as disclosed in the General Disclosure Package, there are no pending actions, suits or proceedings (including any inquiries or</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investigations by any court or governmental agency or body, domestic or foreign) against or affecting the Company, any of the Subsidiaries and Affiliated Entities or any of their respective properties that, if determined adversely to the Company or any of the Subsidiaries and Affiliated Entities, would individually or in the aggregate have a Material Adverse Effect, or would materially and adversely affect the ability of the Company to perform its obligations under this Agreement or the Deposit Agreement, or which are otherwise material in the context of the sale of the Offered Securities; and, to the best knowledge of the Company after due inquiry, no such actions, suits or proceedings (including any inquiries or investigations by any court or governmental agency or body, domestic or foreign) are threatened or, to the Company’s knowledge, contemplated.</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209" w:name="page210"/>
    <w:bookmarkEnd w:id="209"/>
    <w:p>
      <w:pPr>
        <w:ind w:right="80" w:firstLine="443"/>
        <w:spacing w:after="0" w:line="332" w:lineRule="auto"/>
        <w:tabs>
          <w:tab w:leader="none" w:pos="696"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Independence of Auditors. </w:t>
      </w:r>
      <w:r>
        <w:rPr>
          <w:rFonts w:ascii="Arial" w:cs="Arial" w:eastAsia="Arial" w:hAnsi="Arial"/>
          <w:sz w:val="16"/>
          <w:szCs w:val="16"/>
          <w:color w:val="auto"/>
        </w:rPr>
        <w:t>Deloitte Touche Tohmatsu CPA Ltd., who have certified the financial statements filed with the Commission as part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General Disclosure Package and each Registration Statement, are independent registered public accounting firm as required by the Act.</w:t>
      </w:r>
    </w:p>
    <w:p>
      <w:pPr>
        <w:spacing w:after="0" w:line="4" w:lineRule="exact"/>
        <w:rPr>
          <w:rFonts w:ascii="Arial" w:cs="Arial" w:eastAsia="Arial" w:hAnsi="Arial"/>
          <w:sz w:val="16"/>
          <w:szCs w:val="16"/>
          <w:color w:val="auto"/>
        </w:rPr>
      </w:pPr>
    </w:p>
    <w:p>
      <w:pPr>
        <w:ind w:right="100" w:firstLine="443"/>
        <w:spacing w:after="0" w:line="286" w:lineRule="auto"/>
        <w:tabs>
          <w:tab w:leader="none" w:pos="696"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included in each Registration Statement and the General Disclosure Package present fairly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position of the Company and its consolidated Subsidiaries and Affiliated Entities as of the dates shown and their results of operations and cash flows for the periods shown, and such financial statements have been prepared in conformity with the generally accepted accounting principles in the United States applied on a consistent basis and the assumptions used in preparing the pro forma financial information included in each Registration Statement and the General Disclosure Package provide a reasonable basis for presenting the significant effects directly attributable to the transactions or events described therein, the related pro forma adjustments give appropriate effect to those assumptions, and the pro forma columns therein reflect the proper application of those adjustments to the corresponding historical financial statement amounts. The other financial and statistical data set forth in the General Disclosure Package and each Registration Statement are accurately presented and prepared on a basis consistent with the financial statements and books and records of the Company. There is no financial statement or schedule (historical or pro forma) that is required to be included in the General Disclosure Package and each Registration Statement that is not included as required, and the Company and the Subsidiaries and Affiliated Entities do not have any material liability or obligation, direct or contingent (including any off-balance sheet obligation), not disclosed in the General Disclosure Package and each Registration Statement.</w:t>
      </w:r>
    </w:p>
    <w:p>
      <w:pPr>
        <w:spacing w:after="0" w:line="43" w:lineRule="exact"/>
        <w:rPr>
          <w:rFonts w:ascii="Arial" w:cs="Arial" w:eastAsia="Arial" w:hAnsi="Arial"/>
          <w:sz w:val="16"/>
          <w:szCs w:val="16"/>
          <w:color w:val="auto"/>
        </w:rPr>
      </w:pPr>
    </w:p>
    <w:p>
      <w:pPr>
        <w:ind w:firstLine="443"/>
        <w:spacing w:after="0" w:line="290" w:lineRule="auto"/>
        <w:tabs>
          <w:tab w:leader="none" w:pos="775"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 xml:space="preserve">Critical Accounting Policies. </w:t>
      </w:r>
      <w:r>
        <w:rPr>
          <w:rFonts w:ascii="Arial" w:cs="Arial" w:eastAsia="Arial" w:hAnsi="Arial"/>
          <w:sz w:val="16"/>
          <w:szCs w:val="16"/>
          <w:color w:val="auto"/>
        </w:rPr>
        <w:t>The section entitled “Management’s Discussion and Analysis of Financial Condition and Results of Operations”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General Disclosure Package accurately and fully describes (i) the accounting policies that the Company believes are the most important in the portrayal of the Company’s financial condition and results of operations and that require management’s most difficult, subjective or complex judgments (the “</w:t>
      </w:r>
      <w:r>
        <w:rPr>
          <w:rFonts w:ascii="Arial" w:cs="Arial" w:eastAsia="Arial" w:hAnsi="Arial"/>
          <w:sz w:val="16"/>
          <w:szCs w:val="16"/>
          <w:b w:val="1"/>
          <w:bCs w:val="1"/>
          <w:color w:val="auto"/>
        </w:rPr>
        <w:t>Critical Accounting Policies</w:t>
      </w:r>
      <w:r>
        <w:rPr>
          <w:rFonts w:ascii="Arial" w:cs="Arial" w:eastAsia="Arial" w:hAnsi="Arial"/>
          <w:sz w:val="16"/>
          <w:szCs w:val="16"/>
          <w:color w:val="auto"/>
        </w:rPr>
        <w:t>”); (ii) judgments and uncertainties affecting the application of the Critical Accounting Policies; and (iii) the likelihood that materially different amounts would be reported under different conditions or using different assumptions and an explanation thereof. The Company’s management have reviewed and agreed with the selection, application and disclosure of the Critical Accounting Policies as described in the General Disclosure Package, and have consulted with its independent registered public accounting firm with regards to such disclosure.</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80" w:right="259" w:bottom="1440" w:gutter="0" w:footer="0" w:header="0"/>
        </w:sectPr>
      </w:pPr>
    </w:p>
    <w:bookmarkStart w:id="210" w:name="page211"/>
    <w:bookmarkEnd w:id="210"/>
    <w:p>
      <w:pPr>
        <w:ind w:firstLine="443"/>
        <w:spacing w:after="0" w:line="290" w:lineRule="auto"/>
        <w:tabs>
          <w:tab w:leader="none" w:pos="696"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Financial Condition and Results of Operations. </w:t>
      </w:r>
      <w:r>
        <w:rPr>
          <w:rFonts w:ascii="Arial" w:cs="Arial" w:eastAsia="Arial" w:hAnsi="Arial"/>
          <w:sz w:val="16"/>
          <w:szCs w:val="16"/>
          <w:color w:val="auto"/>
        </w:rPr>
        <w:t>The General Disclosure Package fairly and accurately describes (i) all material trends, demands,</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and events known to the Company and uncertainties, and the potential effects thereof, that the Company believes would be materially affect its liquidity and are reasonably likely to occur; and (ii) neither the Company nor any of the Subsidiaries and Affiliated Entities is engaged in any transaction with, or have any obligation to, its unconsolidated entities (if any) that is contractually limited to narrow activities that facilitate the transfer of or access to assets by the Company or any of the Subsidiaries and Affiliated Entities, including, without limitation, structured finance entities and special purpose entities, or otherwise engage in, or have any obligation under, any off-balance sheet transaction or arrangement. As used herein, the phrase “reasonably likely” refers to a disclosure threshold lower than “more likely than not”.</w:t>
      </w:r>
    </w:p>
    <w:p>
      <w:pPr>
        <w:spacing w:after="0" w:line="37" w:lineRule="exact"/>
        <w:rPr>
          <w:rFonts w:ascii="Arial" w:cs="Arial" w:eastAsia="Arial" w:hAnsi="Arial"/>
          <w:sz w:val="16"/>
          <w:szCs w:val="16"/>
          <w:color w:val="auto"/>
        </w:rPr>
      </w:pPr>
    </w:p>
    <w:p>
      <w:pPr>
        <w:ind w:right="100" w:firstLine="443"/>
        <w:spacing w:after="0" w:line="290" w:lineRule="auto"/>
        <w:tabs>
          <w:tab w:leader="none" w:pos="872"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No Material Adverse Change in Business</w:t>
      </w:r>
      <w:r>
        <w:rPr>
          <w:rFonts w:ascii="Arial" w:cs="Arial" w:eastAsia="Arial" w:hAnsi="Arial"/>
          <w:sz w:val="16"/>
          <w:szCs w:val="16"/>
          <w:color w:val="auto"/>
        </w:rPr>
        <w:t>. Except as disclosed in the General Disclosure Package, since the end of the period covered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latest audited financial statements included in the General Disclosure Package (i) there has been no change, nor any development or event involving a prospective change, in the condition (financial or otherwise), results of operations, business, properties or prospects of the Company and the Subsidiaries and Affiliated Entities, taken as a whole that is material and adverse; (ii) except as disclosed in or contemplated by the General Disclosure Package, there has been no dividend or distribution of any kind declared, paid or made by the Company on any class of its capital stock; and (iii) except as disclosed in or contemplated by the General Disclosure Package, there has been no material adverse change in the capital stock, short-term indebtedness, long-term indebtedness, net current assets or net assets of the Company and the Subsidiaries and Affiliated Entities.</w:t>
      </w:r>
    </w:p>
    <w:p>
      <w:pPr>
        <w:spacing w:after="0" w:line="37" w:lineRule="exact"/>
        <w:rPr>
          <w:rFonts w:ascii="Arial" w:cs="Arial" w:eastAsia="Arial" w:hAnsi="Arial"/>
          <w:sz w:val="16"/>
          <w:szCs w:val="16"/>
          <w:color w:val="auto"/>
        </w:rPr>
      </w:pPr>
    </w:p>
    <w:p>
      <w:pPr>
        <w:ind w:left="780" w:hanging="337"/>
        <w:spacing w:after="0"/>
        <w:tabs>
          <w:tab w:leader="none" w:pos="78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Foreign Private Issuer. </w:t>
      </w:r>
      <w:r>
        <w:rPr>
          <w:rFonts w:ascii="Arial" w:cs="Arial" w:eastAsia="Arial" w:hAnsi="Arial"/>
          <w:sz w:val="18"/>
          <w:szCs w:val="18"/>
          <w:color w:val="auto"/>
        </w:rPr>
        <w:t>The Company is a “foreign private issuer” within the meaning of Rule 405 under the Act.</w:t>
      </w:r>
    </w:p>
    <w:p>
      <w:pPr>
        <w:spacing w:after="0" w:line="90" w:lineRule="exact"/>
        <w:rPr>
          <w:rFonts w:ascii="Arial" w:cs="Arial" w:eastAsia="Arial" w:hAnsi="Arial"/>
          <w:sz w:val="18"/>
          <w:szCs w:val="18"/>
          <w:color w:val="auto"/>
        </w:rPr>
      </w:pPr>
    </w:p>
    <w:p>
      <w:pPr>
        <w:ind w:right="20" w:firstLine="443"/>
        <w:spacing w:after="0" w:line="259" w:lineRule="auto"/>
        <w:tabs>
          <w:tab w:leader="none" w:pos="775"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after giving effect to the offering and sale of the Offered Securities and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thereof as described in the General Disclosure Package, will not be an “investment company” as defined in the Investment Company Act of 1940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right="100" w:firstLine="443"/>
        <w:spacing w:after="0" w:line="258" w:lineRule="auto"/>
        <w:tabs>
          <w:tab w:leader="none" w:pos="775"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Passive Foreign Investment Company. </w:t>
      </w:r>
      <w:r>
        <w:rPr>
          <w:rFonts w:ascii="Arial" w:cs="Arial" w:eastAsia="Arial" w:hAnsi="Arial"/>
          <w:sz w:val="18"/>
          <w:szCs w:val="18"/>
          <w:color w:val="auto"/>
        </w:rPr>
        <w:t>The Company does not expect to be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Section 1297(a) of the United States Internal Revenue Code of 1986, as amended, and the regulations and published interpretations thereunder for the taxable year ending May 31, 2007, and has no plan or intention to conduct its business in a manner that would be reasonably expected to result in the Company becoming a PFIC in the future under current laws and regulations.</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211" w:name="page212"/>
    <w:bookmarkEnd w:id="211"/>
    <w:p>
      <w:pPr>
        <w:ind w:right="20" w:firstLine="443"/>
        <w:spacing w:after="0" w:line="289" w:lineRule="auto"/>
        <w:tabs>
          <w:tab w:leader="none" w:pos="775" w:val="left"/>
        </w:tabs>
        <w:numPr>
          <w:ilvl w:val="1"/>
          <w:numId w:val="15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Tax Returns. </w:t>
      </w:r>
      <w:r>
        <w:rPr>
          <w:rFonts w:ascii="Arial" w:cs="Arial" w:eastAsia="Arial" w:hAnsi="Arial"/>
          <w:sz w:val="16"/>
          <w:szCs w:val="16"/>
          <w:color w:val="auto"/>
        </w:rPr>
        <w:t>The Company and the Subsidiaries and Affiliated Entities have filed all national and local tax returns or assessments of a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nature (whether imposed directly or through withholding) that are required to be filed or have requested extensions thereof (except in any case in which the failure so to file would not have a Material Adverse Effect); and, except as set forth in the General Disclosure Package, the Company and the Subsidiaries and Affiliated Entities have paid all taxes (including any assessments, fines or penalties) required to be paid by them, except for any such taxes, assessments, fines or penalties currently being contested in good faith or as would not, individually or in the aggregate, have a Material Adverse Effect. All tax waivers and exemptions from national and local governments of the People’s Republic of China (“</w:t>
      </w:r>
      <w:r>
        <w:rPr>
          <w:rFonts w:ascii="Arial" w:cs="Arial" w:eastAsia="Arial" w:hAnsi="Arial"/>
          <w:sz w:val="16"/>
          <w:szCs w:val="16"/>
          <w:b w:val="1"/>
          <w:bCs w:val="1"/>
          <w:color w:val="auto"/>
        </w:rPr>
        <w:t>PRC</w:t>
      </w:r>
      <w:r>
        <w:rPr>
          <w:rFonts w:ascii="Arial" w:cs="Arial" w:eastAsia="Arial" w:hAnsi="Arial"/>
          <w:sz w:val="16"/>
          <w:szCs w:val="16"/>
          <w:color w:val="auto"/>
        </w:rPr>
        <w:t>”) and other local and national PRC tax relief, concession and preferential treatment claimed or obtained by the Company or the Subsidiaries and Affiliated Entities are valid, binding and enforceable, subject to the risks and uncertainties disclosed in the General Disclosure Package.</w:t>
      </w:r>
    </w:p>
    <w:p>
      <w:pPr>
        <w:spacing w:after="0" w:line="37" w:lineRule="exact"/>
        <w:rPr>
          <w:rFonts w:ascii="Arial" w:cs="Arial" w:eastAsia="Arial" w:hAnsi="Arial"/>
          <w:sz w:val="16"/>
          <w:szCs w:val="16"/>
          <w:color w:val="auto"/>
        </w:rPr>
      </w:pPr>
    </w:p>
    <w:p>
      <w:pPr>
        <w:ind w:firstLine="443"/>
        <w:spacing w:after="0" w:line="287" w:lineRule="auto"/>
        <w:tabs>
          <w:tab w:leader="none" w:pos="716" w:val="left"/>
        </w:tabs>
        <w:numPr>
          <w:ilvl w:val="1"/>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the Subsidiaries and Affiliated Entities are insured by insurers with appropriately rated claims paying 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such losses and risks and in such amounts as are customary for similar businesses in the PRC; all policies of insurance insuring the Company or any of the Subsidiaries and Affiliated Entities or their respective businesses, assets, employees, officers and directors are in full force and effect; the Company and the Subsidiaries and Affiliated Entities are in compliance with the terms of such policies and instruments in all material respects; and there are no claims by the Company or any of the Subsidiaries and Affiliated Entities under any such policy or instrument as to which any insurance company is denying liability or defending under a reservation of rights clause; neither the Company nor any of the Subsidiaries and Affiliated Entities has been refused any insurance coverage sought or applied for; and except as set forth in or contemplated in the General Disclosure Package, neither the Company nor any of the Subsidiaries and Affiliated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and the Company will obtain directors’ and officer’s insurance in such amounts as is customary for an initial public offering.</w:t>
      </w:r>
    </w:p>
    <w:p>
      <w:pPr>
        <w:spacing w:after="0" w:line="41" w:lineRule="exact"/>
        <w:rPr>
          <w:rFonts w:ascii="Arial" w:cs="Arial" w:eastAsia="Arial" w:hAnsi="Arial"/>
          <w:sz w:val="16"/>
          <w:szCs w:val="16"/>
          <w:color w:val="auto"/>
        </w:rPr>
      </w:pPr>
    </w:p>
    <w:p>
      <w:pPr>
        <w:ind w:right="40" w:firstLine="443"/>
        <w:spacing w:after="0" w:line="283" w:lineRule="auto"/>
        <w:tabs>
          <w:tab w:leader="none" w:pos="735" w:val="left"/>
        </w:tabs>
        <w:numPr>
          <w:ilvl w:val="1"/>
          <w:numId w:val="152"/>
        </w:numPr>
        <w:rPr>
          <w:rFonts w:ascii="Arial" w:cs="Arial" w:eastAsia="Arial" w:hAnsi="Arial"/>
          <w:sz w:val="16"/>
          <w:szCs w:val="16"/>
          <w:color w:val="auto"/>
        </w:rPr>
      </w:pPr>
      <w:r>
        <w:rPr>
          <w:rFonts w:ascii="Arial" w:cs="Arial" w:eastAsia="Arial" w:hAnsi="Arial"/>
          <w:sz w:val="16"/>
          <w:szCs w:val="16"/>
          <w:i w:val="1"/>
          <w:iCs w:val="1"/>
          <w:color w:val="auto"/>
        </w:rPr>
        <w:t>Business Practice</w:t>
      </w:r>
      <w:r>
        <w:rPr>
          <w:rFonts w:ascii="Arial" w:cs="Arial" w:eastAsia="Arial" w:hAnsi="Arial"/>
          <w:sz w:val="16"/>
          <w:szCs w:val="16"/>
          <w:color w:val="auto"/>
        </w:rPr>
        <w:t>. Neither the Company nor any of the Subsidiaries and Affiliated Entities, nor any director, officer, agent, employee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 affiliated with or acting on behalf of the Company or any of the Subsidiaries and Affiliated Entities has, directly or indirectly (i) used any corporate funds for any unlawful contribution, gift, entertainment or other unlawful expenses; (ii) made any direct or indirect unlawful payment to any foreign or domestic government official or employee from corporate funds; (iii) violated any provision of the United States Foreign Corrupt Practices Act of 1977; or</w:t>
      </w:r>
    </w:p>
    <w:p>
      <w:pPr>
        <w:spacing w:after="0" w:line="2" w:lineRule="exact"/>
        <w:rPr>
          <w:rFonts w:ascii="Arial" w:cs="Arial" w:eastAsia="Arial" w:hAnsi="Arial"/>
          <w:sz w:val="16"/>
          <w:szCs w:val="16"/>
          <w:color w:val="auto"/>
        </w:rPr>
      </w:pPr>
    </w:p>
    <w:p>
      <w:pPr>
        <w:ind w:left="300" w:hanging="296"/>
        <w:spacing w:after="0"/>
        <w:tabs>
          <w:tab w:leader="none" w:pos="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made any bribe, rebate, payoff, influence payment, kickback or other unlawful payment.</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212" w:name="page213"/>
    <w:bookmarkEnd w:id="212"/>
    <w:p>
      <w:pPr>
        <w:ind w:right="140" w:firstLine="443"/>
        <w:spacing w:after="0" w:line="256" w:lineRule="auto"/>
        <w:tabs>
          <w:tab w:leader="none" w:pos="696"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Stabilization. </w:t>
      </w:r>
      <w:r>
        <w:rPr>
          <w:rFonts w:ascii="Arial" w:cs="Arial" w:eastAsia="Arial" w:hAnsi="Arial"/>
          <w:sz w:val="18"/>
          <w:szCs w:val="18"/>
          <w:color w:val="auto"/>
        </w:rPr>
        <w:t>Neither the Company nor any of the Subsidiaries and Affiliated Entities, nor any of their respective directors, officers, affiliates or</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controlling persons has taken, directly or indirectly, any action designed, or which has constituted or might reasonably be expected to cause or result in, under the Exchange Act or otherwise, the stabilization or manipulation of the price of any security of the Company to facilitate the sale or resale of the Common Shares or the Offered Securities.</w:t>
      </w:r>
    </w:p>
    <w:p>
      <w:pPr>
        <w:spacing w:after="0" w:line="62" w:lineRule="exact"/>
        <w:rPr>
          <w:rFonts w:ascii="Arial" w:cs="Arial" w:eastAsia="Arial" w:hAnsi="Arial"/>
          <w:sz w:val="18"/>
          <w:szCs w:val="18"/>
          <w:color w:val="auto"/>
        </w:rPr>
      </w:pPr>
    </w:p>
    <w:p>
      <w:pPr>
        <w:ind w:firstLine="443"/>
        <w:spacing w:after="0" w:line="253" w:lineRule="auto"/>
        <w:tabs>
          <w:tab w:leader="none" w:pos="775"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Payments in Foreign Currency</w:t>
      </w:r>
      <w:r>
        <w:rPr>
          <w:rFonts w:ascii="Arial" w:cs="Arial" w:eastAsia="Arial" w:hAnsi="Arial"/>
          <w:sz w:val="18"/>
          <w:szCs w:val="18"/>
          <w:color w:val="auto"/>
        </w:rPr>
        <w:t>. Except as disclosed in the General Disclosure Package, under current laws and regulations of the Cayman</w:t>
      </w:r>
      <w:r>
        <w:rPr>
          <w:rFonts w:ascii="Arial" w:cs="Arial" w:eastAsia="Arial" w:hAnsi="Arial"/>
          <w:sz w:val="18"/>
          <w:szCs w:val="18"/>
          <w:i w:val="1"/>
          <w:iCs w:val="1"/>
          <w:color w:val="auto"/>
        </w:rPr>
        <w:t xml:space="preserve"> </w:t>
      </w:r>
      <w:r>
        <w:rPr>
          <w:rFonts w:ascii="Arial" w:cs="Arial" w:eastAsia="Arial" w:hAnsi="Arial"/>
          <w:sz w:val="18"/>
          <w:szCs w:val="18"/>
          <w:color w:val="auto"/>
        </w:rPr>
        <w:t>Islands and any political subdivision thereof, all dividends and other distributions declared and payable on the Offered Securities may be paid by the Company to the holders thereof in United States dollars or the Cayman Islands that may be converted into foreign currency and freely transferred out of the Cayman Islands and all such payments made to holders thereof or therein who are non-residents of the Cayman Islands will not be subject to income, withholding or other taxes under laws and regulations of the Cayman Islands or any political subdivision or taxing authority thereof or therein and will otherwise be free and clear of any other tax, duty, withholding or deduction in the Cayman Islands or any political subdivision or taxing authority thereof or therein and without the necessity of obtaining any governmental authorization in the Cayman Islands or any political subdivision or taxing authority thereof or therein.</w:t>
      </w:r>
    </w:p>
    <w:p>
      <w:pPr>
        <w:spacing w:after="0" w:line="64" w:lineRule="exact"/>
        <w:rPr>
          <w:rFonts w:ascii="Arial" w:cs="Arial" w:eastAsia="Arial" w:hAnsi="Arial"/>
          <w:sz w:val="18"/>
          <w:szCs w:val="18"/>
          <w:color w:val="auto"/>
        </w:rPr>
      </w:pPr>
    </w:p>
    <w:p>
      <w:pPr>
        <w:ind w:right="100" w:firstLine="443"/>
        <w:spacing w:after="0" w:line="301" w:lineRule="auto"/>
        <w:tabs>
          <w:tab w:leader="none" w:pos="775" w:val="left"/>
        </w:tabs>
        <w:numPr>
          <w:ilvl w:val="1"/>
          <w:numId w:val="154"/>
        </w:numPr>
        <w:rPr>
          <w:rFonts w:ascii="Arial" w:cs="Arial" w:eastAsia="Arial" w:hAnsi="Arial"/>
          <w:sz w:val="15"/>
          <w:szCs w:val="15"/>
          <w:color w:val="auto"/>
        </w:rPr>
      </w:pPr>
      <w:r>
        <w:rPr>
          <w:rFonts w:ascii="Arial" w:cs="Arial" w:eastAsia="Arial" w:hAnsi="Arial"/>
          <w:sz w:val="15"/>
          <w:szCs w:val="15"/>
          <w:i w:val="1"/>
          <w:iCs w:val="1"/>
          <w:color w:val="auto"/>
        </w:rPr>
        <w:t>Stamp Duty</w:t>
      </w:r>
      <w:r>
        <w:rPr>
          <w:rFonts w:ascii="Arial" w:cs="Arial" w:eastAsia="Arial" w:hAnsi="Arial"/>
          <w:sz w:val="15"/>
          <w:szCs w:val="15"/>
          <w:color w:val="auto"/>
        </w:rPr>
        <w:t>. Except as disclosed in the General Disclosure Package, under the laws and regulations of each of the PRC and the Cayman Islands</w:t>
      </w:r>
      <w:r>
        <w:rPr>
          <w:rFonts w:ascii="Arial" w:cs="Arial" w:eastAsia="Arial" w:hAnsi="Arial"/>
          <w:sz w:val="15"/>
          <w:szCs w:val="15"/>
          <w:i w:val="1"/>
          <w:iCs w:val="1"/>
          <w:color w:val="auto"/>
        </w:rPr>
        <w:t xml:space="preserve"> </w:t>
      </w:r>
      <w:r>
        <w:rPr>
          <w:rFonts w:ascii="Arial" w:cs="Arial" w:eastAsia="Arial" w:hAnsi="Arial"/>
          <w:sz w:val="15"/>
          <w:szCs w:val="15"/>
          <w:color w:val="auto"/>
        </w:rPr>
        <w:t>or any political subdivision or taxing authority thereof or therein, no transaction, stamp, capital or other issuance, registration, transaction, transfer or withholding tax or duty is payable in the PRC and the Cayman Islands by or on behalf of the Underwriters to any PRC or Cayman Islands taxing authority in connection with (i) the issuance, sale and delivery of the Common Shares represented by the Offered Securities by the Company, the issuance of the Offered Securities by the Depositary, and the delivery of the Offered Securities to or for the account of the Underwriters; (ii) the purchase from the Company and the initial sale and delivery by the Underwriters of the Offered Securities to purchasers thereof; (iii) the deposit of the Common Shares with the Depositary and the Custodian (as defined in the Deposit Agreement) and the issuance and delivery of the ADRs evidencing the offered ADSs; or</w:t>
      </w:r>
    </w:p>
    <w:p>
      <w:pPr>
        <w:spacing w:after="0" w:line="4" w:lineRule="exact"/>
        <w:rPr>
          <w:rFonts w:ascii="Arial" w:cs="Arial" w:eastAsia="Arial" w:hAnsi="Arial"/>
          <w:sz w:val="15"/>
          <w:szCs w:val="15"/>
          <w:color w:val="auto"/>
        </w:rPr>
      </w:pPr>
    </w:p>
    <w:p>
      <w:pPr>
        <w:ind w:left="300" w:hanging="296"/>
        <w:spacing w:after="0"/>
        <w:tabs>
          <w:tab w:leader="none" w:pos="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execution and delivery of this Agreement or the Deposit Agreement.</w:t>
      </w:r>
    </w:p>
    <w:p>
      <w:pPr>
        <w:spacing w:after="0" w:line="83" w:lineRule="exact"/>
        <w:rPr>
          <w:rFonts w:ascii="Arial" w:cs="Arial" w:eastAsia="Arial" w:hAnsi="Arial"/>
          <w:sz w:val="18"/>
          <w:szCs w:val="18"/>
          <w:color w:val="auto"/>
        </w:rPr>
      </w:pPr>
    </w:p>
    <w:p>
      <w:pPr>
        <w:ind w:right="100" w:firstLine="443"/>
        <w:spacing w:after="0" w:line="289" w:lineRule="auto"/>
        <w:tabs>
          <w:tab w:leader="none" w:pos="852" w:val="left"/>
        </w:tabs>
        <w:numPr>
          <w:ilvl w:val="1"/>
          <w:numId w:val="155"/>
        </w:numPr>
        <w:rPr>
          <w:rFonts w:ascii="Arial" w:cs="Arial" w:eastAsia="Arial" w:hAnsi="Arial"/>
          <w:sz w:val="16"/>
          <w:szCs w:val="16"/>
          <w:color w:val="auto"/>
        </w:rPr>
      </w:pPr>
      <w:r>
        <w:rPr>
          <w:rFonts w:ascii="Arial" w:cs="Arial" w:eastAsia="Arial" w:hAnsi="Arial"/>
          <w:sz w:val="16"/>
          <w:szCs w:val="16"/>
          <w:i w:val="1"/>
          <w:iCs w:val="1"/>
          <w:color w:val="auto"/>
        </w:rPr>
        <w:t xml:space="preserve">Choice of Law. </w:t>
      </w:r>
      <w:r>
        <w:rPr>
          <w:rFonts w:ascii="Arial" w:cs="Arial" w:eastAsia="Arial" w:hAnsi="Arial"/>
          <w:sz w:val="16"/>
          <w:szCs w:val="16"/>
          <w:color w:val="auto"/>
        </w:rPr>
        <w:t>The choice of laws of the State of New York as the governing law of this Agreement and the Deposit Agreement is a valid</w:t>
      </w:r>
      <w:r>
        <w:rPr>
          <w:rFonts w:ascii="Arial" w:cs="Arial" w:eastAsia="Arial" w:hAnsi="Arial"/>
          <w:sz w:val="16"/>
          <w:szCs w:val="16"/>
          <w:i w:val="1"/>
          <w:iCs w:val="1"/>
          <w:color w:val="auto"/>
        </w:rPr>
        <w:t xml:space="preserve"> </w:t>
      </w:r>
      <w:r>
        <w:rPr>
          <w:rFonts w:ascii="Arial" w:cs="Arial" w:eastAsia="Arial" w:hAnsi="Arial"/>
          <w:sz w:val="16"/>
          <w:szCs w:val="16"/>
          <w:color w:val="auto"/>
        </w:rPr>
        <w:t>choice of law under the laws of the Cayman Islands and the PRC and will be honored by courts in the Cayman Islands and the PRC. The Company has the power to submit, and pursuant to Section 16 of this Agreement, has legally, validly, effectively and irrevocably submitted, to the personal jurisdiction of each United States federal court and New York state court located in the Borough of Manhattan, in The City of New York, New York, U.S.A. (each, a “</w:t>
      </w:r>
      <w:r>
        <w:rPr>
          <w:rFonts w:ascii="Arial" w:cs="Arial" w:eastAsia="Arial" w:hAnsi="Arial"/>
          <w:sz w:val="16"/>
          <w:szCs w:val="16"/>
          <w:b w:val="1"/>
          <w:bCs w:val="1"/>
          <w:color w:val="auto"/>
        </w:rPr>
        <w:t>New York Court</w:t>
      </w:r>
      <w:r>
        <w:rPr>
          <w:rFonts w:ascii="Arial" w:cs="Arial" w:eastAsia="Arial" w:hAnsi="Arial"/>
          <w:sz w:val="16"/>
          <w:szCs w:val="16"/>
          <w:color w:val="auto"/>
        </w:rPr>
        <w:t>”), and the Company has the power to designate, appoint and authorize, and pursuant to Section 16 of this Agreement, has legally, validly, effectively and irrevocably designated, appointed an authorized agent for service of process in any action arising out of or relating to this Agreement, the Deposit Agreement or the Offered Securities in any New York Court, and service of process effected on such authorized agent will be effective to confer valid personal jurisdiction over the Company as provided in Section 16 hereof.</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213" w:name="page214"/>
    <w:bookmarkEnd w:id="213"/>
    <w:p>
      <w:pPr>
        <w:ind w:firstLine="443"/>
        <w:spacing w:after="0" w:line="309" w:lineRule="auto"/>
        <w:tabs>
          <w:tab w:leader="none" w:pos="775" w:val="left"/>
        </w:tabs>
        <w:numPr>
          <w:ilvl w:val="0"/>
          <w:numId w:val="156"/>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Immunity. </w:t>
      </w:r>
      <w:r>
        <w:rPr>
          <w:rFonts w:ascii="Arial" w:cs="Arial" w:eastAsia="Arial" w:hAnsi="Arial"/>
          <w:sz w:val="15"/>
          <w:szCs w:val="15"/>
          <w:color w:val="auto"/>
        </w:rPr>
        <w:t>Neither the Company nor any of the Subsidiaries and Affiliated Entities, nor any of their respective properties, assets or revenues has</w:t>
      </w:r>
      <w:r>
        <w:rPr>
          <w:rFonts w:ascii="Arial" w:cs="Arial" w:eastAsia="Arial" w:hAnsi="Arial"/>
          <w:sz w:val="15"/>
          <w:szCs w:val="15"/>
          <w:i w:val="1"/>
          <w:iCs w:val="1"/>
          <w:color w:val="auto"/>
        </w:rPr>
        <w:t xml:space="preserve"> </w:t>
      </w:r>
      <w:r>
        <w:rPr>
          <w:rFonts w:ascii="Arial" w:cs="Arial" w:eastAsia="Arial" w:hAnsi="Arial"/>
          <w:sz w:val="15"/>
          <w:szCs w:val="15"/>
          <w:color w:val="auto"/>
        </w:rPr>
        <w:t>any right of immunity under Cayman Islands, PRC or New York law, from any legal action, suit or proceeding, from the giving of any relief in any such legal action, suit or proceeding, from set-off or counterclaim, from the jurisdiction of any Cayman Islands, PRC, New York or United States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and, to the extent that the Company, or any of the Subsidiaries and Affiliated Entities or any of their respective properties, assets or revenues may have or may hereafter become entitled to any such right of immunity in any such court in which proceedings may at any time be commenced, each of the Company and the Subsidiaries and Affiliated Entities waives or will waive such right to the extent permitted by law and has consented to such relief and enforcement as provided in Section 16 of this Agreement.</w:t>
      </w:r>
    </w:p>
    <w:p>
      <w:pPr>
        <w:spacing w:after="0" w:line="27" w:lineRule="exact"/>
        <w:rPr>
          <w:rFonts w:ascii="Arial" w:cs="Arial" w:eastAsia="Arial" w:hAnsi="Arial"/>
          <w:sz w:val="15"/>
          <w:szCs w:val="15"/>
          <w:color w:val="auto"/>
        </w:rPr>
      </w:pPr>
    </w:p>
    <w:p>
      <w:pPr>
        <w:ind w:firstLine="443"/>
        <w:spacing w:after="0" w:line="288" w:lineRule="auto"/>
        <w:tabs>
          <w:tab w:leader="none" w:pos="775"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Enforceability of Civil Liabilities. </w:t>
      </w:r>
      <w:r>
        <w:rPr>
          <w:rFonts w:ascii="Arial" w:cs="Arial" w:eastAsia="Arial" w:hAnsi="Arial"/>
          <w:sz w:val="16"/>
          <w:szCs w:val="16"/>
          <w:color w:val="auto"/>
        </w:rPr>
        <w:t>Except as disclosed in the General Disclosure Package, any final judgment for a fixed sum of money rendered</w:t>
      </w:r>
      <w:r>
        <w:rPr>
          <w:rFonts w:ascii="Arial" w:cs="Arial" w:eastAsia="Arial" w:hAnsi="Arial"/>
          <w:sz w:val="16"/>
          <w:szCs w:val="16"/>
          <w:i w:val="1"/>
          <w:iCs w:val="1"/>
          <w:color w:val="auto"/>
        </w:rPr>
        <w:t xml:space="preserve"> </w:t>
      </w:r>
      <w:r>
        <w:rPr>
          <w:rFonts w:ascii="Arial" w:cs="Arial" w:eastAsia="Arial" w:hAnsi="Arial"/>
          <w:sz w:val="16"/>
          <w:szCs w:val="16"/>
          <w:color w:val="auto"/>
        </w:rPr>
        <w:t>by a New York Court having jurisdiction under its own domestic laws in respect of any suit, action or proceeding against the Company based upon this Agreement and the Deposit Agreement would be recognized and enforced against the Company by Cayman Islands courts without re-examining the merits of the case under the common law doctrine of obligation; provided that (i) adequate service of process has been effected and the defendant has had a reasonable opportunity to be heard; (ii) such judgments or the enforcement thereof are not contrary to the law, public policy, security or sovereignty of the Cayman Islands; (iii) such judgments were not obtained by fraudulent means and do not conflict with any other valid judgment in the same matter between the same parties; and (iv) an action between the same parties in the same matter is not pending in any Cayman Islands court at the time the lawsuit is instituted in the foreign court; it is not necessary that this Agreement, the Deposit Agreement, any Statutory Prospectus or the Final Prospectus or any other document be filed or recorded with any court or other authority in the Cayman Islands or the PRC.</w:t>
      </w:r>
    </w:p>
    <w:p>
      <w:pPr>
        <w:spacing w:after="0" w:line="38" w:lineRule="exact"/>
        <w:rPr>
          <w:rFonts w:ascii="Arial" w:cs="Arial" w:eastAsia="Arial" w:hAnsi="Arial"/>
          <w:sz w:val="16"/>
          <w:szCs w:val="16"/>
          <w:color w:val="auto"/>
        </w:rPr>
      </w:pPr>
    </w:p>
    <w:p>
      <w:pPr>
        <w:ind w:right="40" w:firstLine="443"/>
        <w:spacing w:after="0" w:line="256" w:lineRule="auto"/>
        <w:tabs>
          <w:tab w:leader="none" w:pos="755"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Absence of Unlawful Influence</w:t>
      </w:r>
      <w:r>
        <w:rPr>
          <w:rFonts w:ascii="Arial" w:cs="Arial" w:eastAsia="Arial" w:hAnsi="Arial"/>
          <w:sz w:val="18"/>
          <w:szCs w:val="18"/>
          <w:color w:val="auto"/>
        </w:rPr>
        <w:t>. The Company has not offered or sold, or caused the Underwriters to offer or sell, any Offered Securities to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700" w:top="280" w:right="279" w:bottom="1440" w:gutter="0" w:footer="0" w:header="0"/>
        </w:sectPr>
      </w:pPr>
    </w:p>
    <w:bookmarkStart w:id="214" w:name="page215"/>
    <w:bookmarkEnd w:id="214"/>
    <w:p>
      <w:pPr>
        <w:ind w:right="40" w:firstLine="464"/>
        <w:spacing w:after="0" w:line="335" w:lineRule="auto"/>
        <w:tabs>
          <w:tab w:leader="none" w:pos="632" w:val="left"/>
        </w:tabs>
        <w:numPr>
          <w:ilvl w:val="0"/>
          <w:numId w:val="157"/>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Sale and Delivery of Offered Securities</w:t>
      </w:r>
      <w:r>
        <w:rPr>
          <w:rFonts w:ascii="Arial" w:cs="Arial" w:eastAsia="Arial" w:hAnsi="Arial"/>
          <w:sz w:val="15"/>
          <w:szCs w:val="15"/>
          <w:color w:val="auto"/>
        </w:rPr>
        <w:t>. On the basis of the representations, warranties and agreements and subject to the terms and conditions</w:t>
      </w:r>
      <w:r>
        <w:rPr>
          <w:rFonts w:ascii="Arial" w:cs="Arial" w:eastAsia="Arial" w:hAnsi="Arial"/>
          <w:sz w:val="15"/>
          <w:szCs w:val="15"/>
          <w:i w:val="1"/>
          <w:iCs w:val="1"/>
          <w:color w:val="auto"/>
        </w:rPr>
        <w:t xml:space="preserve"> </w:t>
      </w:r>
      <w:r>
        <w:rPr>
          <w:rFonts w:ascii="Arial" w:cs="Arial" w:eastAsia="Arial" w:hAnsi="Arial"/>
          <w:sz w:val="15"/>
          <w:szCs w:val="15"/>
          <w:color w:val="auto"/>
        </w:rPr>
        <w:t>set forth herein, the Company agrees to sell to the several Underwriters, and each of the Underwriters agrees, severally and not jointly, to purchase from the Company, at a purchase price of $[·] per ADS, the respective number of Firm Securities set forth opposite the names of the Underwriters in Schedule A hereto.</w:t>
      </w:r>
    </w:p>
    <w:p>
      <w:pPr>
        <w:spacing w:after="0" w:line="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will deliver the Firm Securities to or, as instructed by the Representatives, for the accounts of the several Underwriters in a form reasonably acceptable to the Representatives against payment of the purchase price by the Underwriters in Federal (same day) funds by official bank check or checks or wire transfer to an account of the Company at a bank acceptable to the Representatives at [·] a.m., New York time, on [·], 2006, or at such other time not later than seven full business days thereafter as the Representatives and the Company determine, such time being herein referred to as the “</w:t>
      </w:r>
      <w:r>
        <w:rPr>
          <w:rFonts w:ascii="Arial" w:cs="Arial" w:eastAsia="Arial" w:hAnsi="Arial"/>
          <w:sz w:val="16"/>
          <w:szCs w:val="16"/>
          <w:b w:val="1"/>
          <w:bCs w:val="1"/>
          <w:color w:val="auto"/>
        </w:rPr>
        <w:t>First Closing Date</w:t>
      </w:r>
      <w:r>
        <w:rPr>
          <w:rFonts w:ascii="Arial" w:cs="Arial" w:eastAsia="Arial" w:hAnsi="Arial"/>
          <w:sz w:val="16"/>
          <w:szCs w:val="16"/>
          <w:color w:val="auto"/>
        </w:rPr>
        <w:t>”. For purposes of Rule 15c6-1 under the Exchange Act, the First Closing Date (if later than the otherwise applicable settlement date) shall be the settlement date for payment of funds and delivery of securities for all the Offered Securities sold pursuant to the offering. The Firm Securities so to be delivered or evidence of their issuance will be made available for checking at the Hong Kong office of Shearman &amp; Sterling LLP at least 24 hours prior to the First Closing Date.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upon written notice from the Representatives given to the Company from time to time not more than 30 days subsequent to the date of the Final Prospectus, the Underwriters may purchase all or less than all of the Optional Securities at the purchase price per ADS to be paid for the Firm Securities. The Company agrees to sell to the Underwriters the number of Optional Securities specified in such notice and the Underwriters agree, severally and not jointly, to purchase such Optional Securities. Such Optional Securities shall be purchased for the account of each Underwriter in the same proportion as the number of Firm Securities set forth opposite such Underwriter’s name bears to the total number of Firm Securities (subject to adjustment by the Representatives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during the 30 days subsequent to the date of the Final Prospectus and to the extent not previously exercised may be surrendered and terminated at any time upon notice by the Representatives to the Company.</w:t>
      </w:r>
    </w:p>
    <w:p>
      <w:pPr>
        <w:spacing w:after="0" w:line="11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Each time for the delivery of and payment for the Optional Securities, being herein referred to as an “</w:t>
      </w:r>
      <w:r>
        <w:rPr>
          <w:rFonts w:ascii="Arial" w:cs="Arial" w:eastAsia="Arial" w:hAnsi="Arial"/>
          <w:sz w:val="16"/>
          <w:szCs w:val="16"/>
          <w:b w:val="1"/>
          <w:bCs w:val="1"/>
          <w:color w:val="auto"/>
        </w:rPr>
        <w:t>Optional Closing Date</w:t>
      </w:r>
      <w:r>
        <w:rPr>
          <w:rFonts w:ascii="Arial" w:cs="Arial" w:eastAsia="Arial" w:hAnsi="Arial"/>
          <w:sz w:val="16"/>
          <w:szCs w:val="16"/>
          <w:color w:val="auto"/>
        </w:rPr>
        <w:t>”, which may be the First Closing Date (the First Closing Date and each Optional Closing Date, if any, being sometimes referred to as a “</w:t>
      </w:r>
      <w:r>
        <w:rPr>
          <w:rFonts w:ascii="Arial" w:cs="Arial" w:eastAsia="Arial" w:hAnsi="Arial"/>
          <w:sz w:val="16"/>
          <w:szCs w:val="16"/>
          <w:b w:val="1"/>
          <w:bCs w:val="1"/>
          <w:color w:val="auto"/>
        </w:rPr>
        <w:t>Closing Date</w:t>
      </w:r>
      <w:r>
        <w:rPr>
          <w:rFonts w:ascii="Arial" w:cs="Arial" w:eastAsia="Arial" w:hAnsi="Arial"/>
          <w:sz w:val="16"/>
          <w:szCs w:val="16"/>
          <w:color w:val="auto"/>
        </w:rPr>
        <w:t>”), shall be determined by the Representatives but shall be not later than five full business days after written notice of election to purchase Optional Securities is given. The Company will deliver the Optional Securities being purchased on each Optional Closing Date to or as instructed by the Representatives for the accounts of the several Underwriters in a form reasonably acceptable to the Representatives against payment of the purchase price therefor in Federal (same day) funds by official bank check or checks or wire transfer to an account of the Company at a bank acceptable to the Representatives. The Optional Securities being purchased on each Optional Closing Date or evidence of their issuance will be made available for checking at the Hong Kong office of Shearman &amp; Sterling LLP at a reasonable time in advance of such Optional Closing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5" w:name="page216"/>
    <w:bookmarkEnd w:id="215"/>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compensation for the Underwriters’ commitments, the Company will pay to the Representatives for the Underwriters’ proportionate accounts the sum of $[·] per ADS times the total number of Offered Securities purchased by the Underwriters from the Company on each Closing Date. The Underwriters shall deduct underwriting discounts and commissions from the aggregate proceeds of the Offered Securities.</w:t>
      </w:r>
    </w:p>
    <w:p>
      <w:pPr>
        <w:spacing w:after="0" w:line="140" w:lineRule="exact"/>
        <w:rPr>
          <w:sz w:val="20"/>
          <w:szCs w:val="20"/>
          <w:color w:val="auto"/>
        </w:rPr>
      </w:pPr>
    </w:p>
    <w:p>
      <w:pPr>
        <w:ind w:right="240" w:firstLine="464"/>
        <w:spacing w:after="0" w:line="268" w:lineRule="auto"/>
        <w:tabs>
          <w:tab w:leader="none" w:pos="632"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Offering by Underwriters</w:t>
      </w:r>
      <w:r>
        <w:rPr>
          <w:rFonts w:ascii="Arial" w:cs="Arial" w:eastAsia="Arial" w:hAnsi="Arial"/>
          <w:sz w:val="18"/>
          <w:szCs w:val="18"/>
          <w:color w:val="auto"/>
        </w:rPr>
        <w:t>. It is understood that the several Underwriters propose to offer the Offered Securities for sale to the public as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Final Prospectus.</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Certain Agreements of the Company</w:t>
      </w:r>
      <w:r>
        <w:rPr>
          <w:rFonts w:ascii="Arial" w:cs="Arial" w:eastAsia="Arial" w:hAnsi="Arial"/>
          <w:sz w:val="18"/>
          <w:szCs w:val="18"/>
          <w:color w:val="auto"/>
        </w:rPr>
        <w:t>. The Company agrees with the several Underwriters that:</w:t>
      </w:r>
    </w:p>
    <w:p>
      <w:pPr>
        <w:spacing w:after="0" w:line="90" w:lineRule="exact"/>
        <w:rPr>
          <w:rFonts w:ascii="Arial" w:cs="Arial" w:eastAsia="Arial" w:hAnsi="Arial"/>
          <w:sz w:val="18"/>
          <w:szCs w:val="18"/>
          <w:color w:val="auto"/>
        </w:rPr>
      </w:pPr>
    </w:p>
    <w:p>
      <w:pPr>
        <w:ind w:left="460" w:right="40" w:firstLine="443"/>
        <w:spacing w:after="0" w:line="287" w:lineRule="auto"/>
        <w:tabs>
          <w:tab w:leader="none" w:pos="1137"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Additional Filings</w:t>
      </w:r>
      <w:r>
        <w:rPr>
          <w:rFonts w:ascii="Arial" w:cs="Arial" w:eastAsia="Arial" w:hAnsi="Arial"/>
          <w:sz w:val="16"/>
          <w:szCs w:val="16"/>
          <w:color w:val="auto"/>
        </w:rPr>
        <w:t>. Unless filed pursuant to Rule 462(c) as part of the Additional Registration Statement in accordance with the next sentence,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file the Final Prospectus, in a form approved by the Representatives, with the Commission pursuant to and in accordance with subparagraph (1) (or, if applicable and if consented to by the Representative, subparagraph (4)) of Rule 424(b) not later than the earlier of (i) the second business day following the execution and delivery of this Agreement; or (ii) the fifteenth business day after the Effective Date of the Initial Registration Statement. The Company will advise the Representatives promptly of any such filing pursuant to Rule 424(b) and provide satisfactory evidence to the Representatives of such timely filing. If an Additional Registration Statement is necessary to register a portion of the Offered Securities under the Act but the Effective Time thereof has not occurred as of the execution and delivery of this Agreement,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Final Prospectus is finalized and distributed to any Underwriter, or will make such filing at such later date as shall have been consented to by the Representatives.</w:t>
      </w:r>
    </w:p>
    <w:p>
      <w:pPr>
        <w:spacing w:after="0" w:line="41" w:lineRule="exact"/>
        <w:rPr>
          <w:rFonts w:ascii="Arial" w:cs="Arial" w:eastAsia="Arial" w:hAnsi="Arial"/>
          <w:sz w:val="16"/>
          <w:szCs w:val="16"/>
          <w:color w:val="auto"/>
        </w:rPr>
      </w:pPr>
    </w:p>
    <w:p>
      <w:pPr>
        <w:ind w:left="460" w:right="20" w:firstLine="443"/>
        <w:spacing w:after="0" w:line="287" w:lineRule="auto"/>
        <w:tabs>
          <w:tab w:leader="none" w:pos="1147"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Filing of Amendments; Response to Commission Requests</w:t>
      </w:r>
      <w:r>
        <w:rPr>
          <w:rFonts w:ascii="Arial" w:cs="Arial" w:eastAsia="Arial" w:hAnsi="Arial"/>
          <w:sz w:val="16"/>
          <w:szCs w:val="16"/>
          <w:color w:val="auto"/>
        </w:rPr>
        <w:t>. The Company will promptly advise the Representatives of any proposal to amend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at any time the Initial Registration Statement, any Additional Registration Statement or any Statutory Prospectus and will not effect such amendment or supplementation without the Representatives’ consent; and the Company will also advise the Representatives promptly of (i) the effectiveness of any Additional Registration Statement (if its Effective Time is subsequent to the execution and delivery of this Agreement); (ii) any amendment or supplementation of a Registration Statement or any Statutory Prospectus; (iii) any request by the Commission or its staff for any amendment to any Registration Statement, for any supplement to any Statutory Prospectus or for any additional information; (iv) the institution by the Commission of any stop order proceedings in respect of a Registration Statement or the threatening of any proceeding for that purpose; and (v) the receipt by the Company of any notification with respect to the suspension of the qualification of the Offered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16" w:name="page217"/>
    <w:bookmarkEnd w:id="216"/>
    <w:p>
      <w:pPr>
        <w:ind w:firstLine="443"/>
        <w:spacing w:after="0" w:line="288" w:lineRule="auto"/>
        <w:tabs>
          <w:tab w:leader="none" w:pos="677"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Continued Compliance with Securities Laws</w:t>
      </w:r>
      <w:r>
        <w:rPr>
          <w:rFonts w:ascii="Arial" w:cs="Arial" w:eastAsia="Arial" w:hAnsi="Arial"/>
          <w:sz w:val="16"/>
          <w:szCs w:val="16"/>
          <w:color w:val="auto"/>
        </w:rPr>
        <w:t>. If, at any time when a prospectus relating to the Offered Securities is (or but for the exemption in</w:t>
      </w:r>
      <w:r>
        <w:rPr>
          <w:rFonts w:ascii="Arial" w:cs="Arial" w:eastAsia="Arial" w:hAnsi="Arial"/>
          <w:sz w:val="16"/>
          <w:szCs w:val="16"/>
          <w:i w:val="1"/>
          <w:iCs w:val="1"/>
          <w:color w:val="auto"/>
        </w:rPr>
        <w:t xml:space="preserve"> </w:t>
      </w:r>
      <w:r>
        <w:rPr>
          <w:rFonts w:ascii="Arial" w:cs="Arial" w:eastAsia="Arial" w:hAnsi="Arial"/>
          <w:sz w:val="16"/>
          <w:szCs w:val="16"/>
          <w:color w:val="auto"/>
        </w:rPr>
        <w:t>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9 hereof.</w:t>
      </w:r>
    </w:p>
    <w:p>
      <w:pPr>
        <w:spacing w:after="0" w:line="38" w:lineRule="exact"/>
        <w:rPr>
          <w:rFonts w:ascii="Arial" w:cs="Arial" w:eastAsia="Arial" w:hAnsi="Arial"/>
          <w:sz w:val="16"/>
          <w:szCs w:val="16"/>
          <w:color w:val="auto"/>
        </w:rPr>
      </w:pPr>
    </w:p>
    <w:p>
      <w:pPr>
        <w:ind w:firstLine="443"/>
        <w:spacing w:after="0" w:line="254" w:lineRule="auto"/>
        <w:tabs>
          <w:tab w:leader="none" w:pos="687"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As soon as practicable, but not later than the Availability Date (as defined below), the Company will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an earnings statement covering a period of at least 12 months beginning after the Effective Date of the Initial Registration Statement (or, if later, the Effective Date of the Additional Registration Statement) which will satisfy the provisions of Section 11(a) of the Act and Rule 158 under the Act. For the purpose of the preceding sentence, “</w:t>
      </w:r>
      <w:r>
        <w:rPr>
          <w:rFonts w:ascii="Arial" w:cs="Arial" w:eastAsia="Arial" w:hAnsi="Arial"/>
          <w:sz w:val="18"/>
          <w:szCs w:val="18"/>
          <w:b w:val="1"/>
          <w:bCs w:val="1"/>
          <w:color w:val="auto"/>
        </w:rPr>
        <w:t>Availability Date</w:t>
      </w:r>
      <w:r>
        <w:rPr>
          <w:rFonts w:ascii="Arial" w:cs="Arial" w:eastAsia="Arial" w:hAnsi="Arial"/>
          <w:sz w:val="18"/>
          <w:szCs w:val="18"/>
          <w:color w:val="auto"/>
        </w:rPr>
        <w:t>” means the 60th day after the end of the fourth fiscal quarter following the fiscal quarter that includes such Effective Date, except that, if such fourth fiscal quarter is the last quarter of the Company’s fiscal year, “</w:t>
      </w:r>
      <w:r>
        <w:rPr>
          <w:rFonts w:ascii="Arial" w:cs="Arial" w:eastAsia="Arial" w:hAnsi="Arial"/>
          <w:sz w:val="18"/>
          <w:szCs w:val="18"/>
          <w:b w:val="1"/>
          <w:bCs w:val="1"/>
          <w:color w:val="auto"/>
        </w:rPr>
        <w:t>Availability Date</w:t>
      </w:r>
      <w:r>
        <w:rPr>
          <w:rFonts w:ascii="Arial" w:cs="Arial" w:eastAsia="Arial" w:hAnsi="Arial"/>
          <w:sz w:val="18"/>
          <w:szCs w:val="18"/>
          <w:color w:val="auto"/>
        </w:rPr>
        <w:t>” means the 90th day after the end of such fourth fiscal quarter.</w:t>
      </w:r>
    </w:p>
    <w:p>
      <w:pPr>
        <w:spacing w:after="0" w:line="63" w:lineRule="exact"/>
        <w:rPr>
          <w:rFonts w:ascii="Arial" w:cs="Arial" w:eastAsia="Arial" w:hAnsi="Arial"/>
          <w:sz w:val="18"/>
          <w:szCs w:val="18"/>
          <w:color w:val="auto"/>
        </w:rPr>
      </w:pPr>
    </w:p>
    <w:p>
      <w:pPr>
        <w:ind w:right="20" w:firstLine="443"/>
        <w:spacing w:after="0" w:line="288" w:lineRule="auto"/>
        <w:tabs>
          <w:tab w:leader="none" w:pos="677"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Furnishing of Prospectuses</w:t>
      </w:r>
      <w:r>
        <w:rPr>
          <w:rFonts w:ascii="Arial" w:cs="Arial" w:eastAsia="Arial" w:hAnsi="Arial"/>
          <w:sz w:val="16"/>
          <w:szCs w:val="16"/>
          <w:color w:val="auto"/>
        </w:rPr>
        <w:t>. The Company will furnish to the Representatives copies of each Registration Statement (three of which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signed and will include all exhibits), each related Statutory Prospectus, and, so long as a prospectus relating to the Offered Securities is (or but for the exemption in Rule 172 would be) required to be delivered under the Act, the Final Prospectus and all amendments and supplements to such documents, in each case in such quantities as the Representatives request. The Final Prospectus shall be so furnished on or prior to 5:00 p.m., New York time, on the business day following the execution and delivery of this Agreement. All other documents shall be so furnished as soon as available. The Company will pay the expenses of printing and distributing to the Underwriters all such documents. The Company agrees to make available to the Underwriters, as soon as practicable after the Registration Statement becomes effective, and thereafter from time to time to furnish to the Underwriters, as many copies of the General Disclosure Package (or of the Statutory Prospectus as amended or supplemented if the Company shall have made any amendments or supplements thereto after the effective date of the Registration Statement) as the Underwriters may request for the purposes contemplated by the Act.</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700" w:top="280" w:right="279" w:bottom="1440" w:gutter="0" w:footer="0" w:header="0"/>
        </w:sectPr>
      </w:pPr>
    </w:p>
    <w:bookmarkStart w:id="217" w:name="page218"/>
    <w:bookmarkEnd w:id="217"/>
    <w:p>
      <w:pPr>
        <w:ind w:right="140" w:firstLine="443"/>
        <w:spacing w:after="0" w:line="268" w:lineRule="auto"/>
        <w:tabs>
          <w:tab w:leader="none" w:pos="657"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Blue Sky Qualifications</w:t>
      </w:r>
      <w:r>
        <w:rPr>
          <w:rFonts w:ascii="Arial" w:cs="Arial" w:eastAsia="Arial" w:hAnsi="Arial"/>
          <w:sz w:val="18"/>
          <w:szCs w:val="18"/>
          <w:color w:val="auto"/>
        </w:rPr>
        <w:t>. The Company will arrange for the qualification of the Offered Securities for sale under the laws of such jurisdictions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Representatives designate and will continue such qualifications in effect so long as required for the distribution.</w:t>
      </w:r>
    </w:p>
    <w:p>
      <w:pPr>
        <w:spacing w:after="0" w:line="50" w:lineRule="exact"/>
        <w:rPr>
          <w:rFonts w:ascii="Arial" w:cs="Arial" w:eastAsia="Arial" w:hAnsi="Arial"/>
          <w:sz w:val="18"/>
          <w:szCs w:val="18"/>
          <w:color w:val="auto"/>
        </w:rPr>
      </w:pPr>
    </w:p>
    <w:p>
      <w:pPr>
        <w:ind w:right="40" w:firstLine="443"/>
        <w:spacing w:after="0" w:line="253" w:lineRule="auto"/>
        <w:tabs>
          <w:tab w:leader="none" w:pos="687"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During the period of five years hereafter, the Company will furnish to the Representatives and, upon request,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Underwriters, as soon as practicable after the end of each fiscal year, a copy of its annual report for such year; and the Company will furnish to the Representatives (i) as soon as available, a copy of each report of the Company filed with the Commission under the Exchange Act or mailed to stockholders;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it is not required to furnish such reports or statements to the Underwriters.</w:t>
      </w:r>
    </w:p>
    <w:p>
      <w:pPr>
        <w:spacing w:after="0" w:line="66" w:lineRule="exact"/>
        <w:rPr>
          <w:rFonts w:ascii="Arial" w:cs="Arial" w:eastAsia="Arial" w:hAnsi="Arial"/>
          <w:sz w:val="18"/>
          <w:szCs w:val="18"/>
          <w:color w:val="auto"/>
        </w:rPr>
      </w:pPr>
    </w:p>
    <w:p>
      <w:pPr>
        <w:ind w:firstLine="443"/>
        <w:spacing w:after="0" w:line="285" w:lineRule="auto"/>
        <w:tabs>
          <w:tab w:leader="none" w:pos="687"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Payment of Expenses</w:t>
      </w:r>
      <w:r>
        <w:rPr>
          <w:rFonts w:ascii="Arial" w:cs="Arial" w:eastAsia="Arial" w:hAnsi="Arial"/>
          <w:sz w:val="16"/>
          <w:szCs w:val="16"/>
          <w:color w:val="auto"/>
        </w:rPr>
        <w:t>. The Company will pay all expenses incident to the performance of its obligations under this Agreement, including but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limited to any filing fees and other expenses (including Securities Exchange Commission registration fees, Blue Sky registration or filing fees, accountants’ fees, independent appraisal fees, and fees and disbursements of the Company’s domestic, United States or other international counsels) incurred in connection with qualification of the Offered Securities for sale under the laws of such jurisdictions as the Representatives designate and the preparation and printing of memoranda relating thereto; the filing fees relating to the review by the NASD of the Offered Securities; printing and engraving costs,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if the aggregate printing and engraving costs exceed US$250,000.00, any such amount in excess of US$250,000.00 shall be borne equally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on the one hand, and the Underwriters on the other hand; fees and expenses incident to listing the Offered Securities on the NYSE; fees and expenses in connection with the registration of the Offered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the Underwriters shall bear all roadshow costs and expenses (including presentation materials and preparation, travel, accommodation and meals) for not more than four (4) members of the Company’s roadshow team. The Underwriters will be responsible for their out-of-pocket expenses, including the fees and disbursements of the Underwriters’ domestic, Untied States and other international counsels,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aggregate fees and disbursements of the Underwriters’ domestic, United States and other international counsels exceed US$500,000.00, any such amount in excess of US$500,000.00 shall be borne equally by the Company on the one hand, and the Underwriters on the other hand.</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218" w:name="page219"/>
    <w:bookmarkEnd w:id="218"/>
    <w:p>
      <w:pPr>
        <w:ind w:right="140" w:firstLine="443"/>
        <w:spacing w:after="0" w:line="256" w:lineRule="auto"/>
        <w:tabs>
          <w:tab w:leader="none" w:pos="648"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of Proceeds</w:t>
      </w:r>
      <w:r>
        <w:rPr>
          <w:rFonts w:ascii="Arial" w:cs="Arial" w:eastAsia="Arial" w:hAnsi="Arial"/>
          <w:sz w:val="18"/>
          <w:szCs w:val="18"/>
          <w:color w:val="auto"/>
        </w:rPr>
        <w:t>. The Company will use the net proceeds received in connection with this offering in the manner described in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section of the General Disclosure Package; the Company does not have any outstanding debt owed to any affiliate of any Underwriter as of the date hereof, and does not intend to use any of the proceeds from the sale of the Offered Securities hereunder to repay any outstanding debt owed to any affiliate of any Underwriter, if any.</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Absence of Manipulation</w:t>
      </w:r>
      <w:r>
        <w:rPr>
          <w:rFonts w:ascii="Arial" w:cs="Arial" w:eastAsia="Arial" w:hAnsi="Arial"/>
          <w:sz w:val="16"/>
          <w:szCs w:val="16"/>
          <w:color w:val="auto"/>
        </w:rPr>
        <w:t>. The Company will not take, directly or indirectly, any action designed to or that would constitute or that might</w:t>
      </w:r>
    </w:p>
    <w:p>
      <w:pPr>
        <w:spacing w:after="0" w:line="38"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reasonably be expected to cause or result in, stabilization or manipulation of the price of any securities of the Company to facilitate the sale or resale of the Offered Securities.</w:t>
      </w:r>
    </w:p>
    <w:p>
      <w:pPr>
        <w:spacing w:after="0" w:line="56" w:lineRule="exact"/>
        <w:rPr>
          <w:rFonts w:ascii="Arial" w:cs="Arial" w:eastAsia="Arial" w:hAnsi="Arial"/>
          <w:sz w:val="16"/>
          <w:szCs w:val="16"/>
          <w:color w:val="auto"/>
        </w:rPr>
      </w:pPr>
    </w:p>
    <w:p>
      <w:pPr>
        <w:ind w:right="20" w:firstLine="443"/>
        <w:spacing w:after="0" w:line="291" w:lineRule="auto"/>
        <w:tabs>
          <w:tab w:leader="none" w:pos="687"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The Company will indemnify and hold harmless the Underwriters against any documentary, stamp or similar issue tax, including any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and penalties, on the creation, issue and sale of the Offered Securities and on the execution and delivery of this Agreement. All payments to be made by the Company hereunder shall be made without withholding or deduction for or on account of any present or future taxes, duties or governmental charges whatsoever unless the Company is compelled by law to deduct or withhold such taxes, duties or charges. In that event, the Company shall pay such additional amounts as may be necessary in order that the net amounts received after such withholding or deduction shall equal the amounts that would have been received if no withholding or deduction had been made.</w:t>
      </w:r>
    </w:p>
    <w:p>
      <w:pPr>
        <w:spacing w:after="0" w:line="33" w:lineRule="exact"/>
        <w:rPr>
          <w:rFonts w:ascii="Arial" w:cs="Arial" w:eastAsia="Arial" w:hAnsi="Arial"/>
          <w:sz w:val="16"/>
          <w:szCs w:val="16"/>
          <w:color w:val="auto"/>
        </w:rPr>
      </w:pPr>
    </w:p>
    <w:p>
      <w:pPr>
        <w:ind w:firstLine="443"/>
        <w:spacing w:after="0" w:line="285" w:lineRule="auto"/>
        <w:tabs>
          <w:tab w:leader="none" w:pos="648"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 xml:space="preserve">Restriction on Sale of Securities. </w:t>
      </w:r>
      <w:r>
        <w:rPr>
          <w:rFonts w:ascii="Arial" w:cs="Arial" w:eastAsia="Arial" w:hAnsi="Arial"/>
          <w:sz w:val="16"/>
          <w:szCs w:val="16"/>
          <w:color w:val="auto"/>
        </w:rPr>
        <w:t>For the period specified below (the “</w:t>
      </w:r>
      <w:r>
        <w:rPr>
          <w:rFonts w:ascii="Arial" w:cs="Arial" w:eastAsia="Arial" w:hAnsi="Arial"/>
          <w:sz w:val="16"/>
          <w:szCs w:val="16"/>
          <w:b w:val="1"/>
          <w:bCs w:val="1"/>
          <w:color w:val="auto"/>
        </w:rPr>
        <w:t>Lock-Up Period</w:t>
      </w:r>
      <w:r>
        <w:rPr>
          <w:rFonts w:ascii="Arial" w:cs="Arial" w:eastAsia="Arial" w:hAnsi="Arial"/>
          <w:sz w:val="16"/>
          <w:szCs w:val="16"/>
          <w:color w:val="auto"/>
        </w:rPr>
        <w:t>”), the Company will not, directly or indirectly, take 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actions with respect to its Common Shares, ADSs or any securities convertible into or exchangeable or exercisable for any of its Common Shares and ADSs (“</w:t>
      </w:r>
      <w:r>
        <w:rPr>
          <w:rFonts w:ascii="Arial" w:cs="Arial" w:eastAsia="Arial" w:hAnsi="Arial"/>
          <w:sz w:val="16"/>
          <w:szCs w:val="16"/>
          <w:b w:val="1"/>
          <w:bCs w:val="1"/>
          <w:color w:val="auto"/>
        </w:rPr>
        <w:t>Lock-Up Securities</w:t>
      </w:r>
      <w:r>
        <w:rPr>
          <w:rFonts w:ascii="Arial" w:cs="Arial" w:eastAsia="Arial" w:hAnsi="Arial"/>
          <w:sz w:val="16"/>
          <w:szCs w:val="16"/>
          <w:color w:val="auto"/>
        </w:rPr>
        <w:t xml:space="preserve">”):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with the Commission a registration statement under the Act relating to Lock-Up Securities, or publicly disclose the intention to take any such action, without the prior written consent of the Representatives, except issuances of Lock-Up Securities pursuant to the conversion or exchange of convertible or exchangeable securities or the exercise of warrants or options, in each case outstanding on the date hereof, grants of employee stock options, restricted shares or other equity incentives pursuant to the terms of a plan in effect on the date hereof, issuances of Lock-Up Securities pursuant to the exercise of such options. The initial Lock-Up Period will commence on the date hereof and continue for 180 days after the date hereof or such earlier date that the Representatives consent to in writing;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during the last 17 days of the initial Lock-Up Period, the Company releases earnings results or material news or a material event relating to the Company occurs; or (B) prior to the expiration of the initial Lock-Up Period, the Company announces that it will release earnings results during the 16-day period beginning on the last day of the initial Lock-Up Period, then in each case the Lock-Up Period will be extended until the expiration of the 18-day period beginning on the date of release of the earnings results or the occurrence of the materials news or material event, as applicable, unless the Representatives waive, in writing, such extension. The Company will provide the Representatives with notice of any announcement described in clause (B) of the preceding sentence that gives rise to an extension of the Lock-Up Period.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80" w:right="259" w:bottom="1440" w:gutter="0" w:footer="0" w:header="0"/>
        </w:sectPr>
      </w:pPr>
    </w:p>
    <w:bookmarkStart w:id="219" w:name="page220"/>
    <w:bookmarkEnd w:id="219"/>
    <w:p>
      <w:pPr>
        <w:ind w:left="740" w:hanging="297"/>
        <w:spacing w:after="0"/>
        <w:tabs>
          <w:tab w:leader="none" w:pos="740"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Maintenance of Listing. </w:t>
      </w:r>
      <w:r>
        <w:rPr>
          <w:rFonts w:ascii="Arial" w:cs="Arial" w:eastAsia="Arial" w:hAnsi="Arial"/>
          <w:sz w:val="16"/>
          <w:szCs w:val="16"/>
          <w:color w:val="auto"/>
        </w:rPr>
        <w:t>The Company will use its best efforts to effect and maintain the listing of the Offered ADSs on the NYSE.</w:t>
      </w:r>
    </w:p>
    <w:p>
      <w:pPr>
        <w:spacing w:after="0" w:line="113" w:lineRule="exact"/>
        <w:rPr>
          <w:rFonts w:ascii="Arial" w:cs="Arial" w:eastAsia="Arial" w:hAnsi="Arial"/>
          <w:sz w:val="16"/>
          <w:szCs w:val="16"/>
          <w:color w:val="auto"/>
        </w:rPr>
      </w:pPr>
    </w:p>
    <w:p>
      <w:pPr>
        <w:ind w:right="60" w:firstLine="443"/>
        <w:spacing w:after="0" w:line="294" w:lineRule="auto"/>
        <w:tabs>
          <w:tab w:leader="none" w:pos="687"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Remittance of Dividends. </w:t>
      </w:r>
      <w:r>
        <w:rPr>
          <w:rFonts w:ascii="Arial" w:cs="Arial" w:eastAsia="Arial" w:hAnsi="Arial"/>
          <w:sz w:val="16"/>
          <w:szCs w:val="16"/>
          <w:color w:val="auto"/>
        </w:rPr>
        <w:t>The Company agrees (i) not to attempt to avoid any judgment obtained by it or denied to it in a court of competent</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outside the Cayman Islands; (ii) following the consummation of the offering of the Offered Securities, it will use its best efforts to obtain and maintain all approvals required in the Cayman Islands to pay and remit outside the Cayman Islands all dividends declared by the Company and payable on the Common Shares; and (iii) it will use its best efforts to obtain and maintain all approvals required in the Cayman Islands for the Company to acquire sufficient foreign exchange for the payment of dividends and all other relevant purposes.</w:t>
      </w:r>
    </w:p>
    <w:p>
      <w:pPr>
        <w:spacing w:after="0" w:line="34" w:lineRule="exact"/>
        <w:rPr>
          <w:rFonts w:ascii="Arial" w:cs="Arial" w:eastAsia="Arial" w:hAnsi="Arial"/>
          <w:sz w:val="16"/>
          <w:szCs w:val="16"/>
          <w:color w:val="auto"/>
        </w:rPr>
      </w:pPr>
    </w:p>
    <w:p>
      <w:pPr>
        <w:ind w:right="40" w:firstLine="443"/>
        <w:spacing w:after="0" w:line="256" w:lineRule="auto"/>
        <w:tabs>
          <w:tab w:leader="none" w:pos="687"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License. </w:t>
      </w:r>
      <w:r>
        <w:rPr>
          <w:rFonts w:ascii="Arial" w:cs="Arial" w:eastAsia="Arial" w:hAnsi="Arial"/>
          <w:sz w:val="18"/>
          <w:szCs w:val="18"/>
          <w:color w:val="auto"/>
        </w:rPr>
        <w:t>Upon request of any Underwriter, the Company will furnish, or cause to be furnished, to such Underwriter an electronic version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Company’s trademarks, servicemarks and corporate logo for use on the website, if any, operated by such Underwriter for the purpose of facilitating the on-line offering of the Offered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such license is granted without any fee and may not be assigned or transferred to any person other than affiliates of such Underwriter.</w:t>
      </w:r>
    </w:p>
    <w:p>
      <w:pPr>
        <w:spacing w:after="0" w:line="62" w:lineRule="exact"/>
        <w:rPr>
          <w:rFonts w:ascii="Arial" w:cs="Arial" w:eastAsia="Arial" w:hAnsi="Arial"/>
          <w:sz w:val="18"/>
          <w:szCs w:val="18"/>
          <w:color w:val="auto"/>
        </w:rPr>
      </w:pPr>
    </w:p>
    <w:p>
      <w:pPr>
        <w:ind w:right="580" w:firstLine="443"/>
        <w:spacing w:after="0" w:line="268" w:lineRule="auto"/>
        <w:tabs>
          <w:tab w:leader="none" w:pos="687"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Sarbanes-Oxley. </w:t>
      </w:r>
      <w:r>
        <w:rPr>
          <w:rFonts w:ascii="Arial" w:cs="Arial" w:eastAsia="Arial" w:hAnsi="Arial"/>
          <w:sz w:val="18"/>
          <w:szCs w:val="18"/>
          <w:color w:val="auto"/>
        </w:rPr>
        <w:t>The Company will use its best efforts to comply with Sarbanes-Oxley, and to use its best efforts to cause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in their capacities as such, to comply in with Sarbanes-Oxley.</w:t>
      </w:r>
    </w:p>
    <w:p>
      <w:pPr>
        <w:spacing w:after="0" w:line="50" w:lineRule="exact"/>
        <w:rPr>
          <w:rFonts w:ascii="Arial" w:cs="Arial" w:eastAsia="Arial" w:hAnsi="Arial"/>
          <w:sz w:val="18"/>
          <w:szCs w:val="18"/>
          <w:color w:val="auto"/>
        </w:rPr>
      </w:pPr>
    </w:p>
    <w:p>
      <w:pPr>
        <w:ind w:firstLine="443"/>
        <w:spacing w:after="0" w:line="298" w:lineRule="auto"/>
        <w:tabs>
          <w:tab w:leader="none" w:pos="687"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Transfer Restrictions</w:t>
      </w:r>
      <w:r>
        <w:rPr>
          <w:rFonts w:ascii="Arial" w:cs="Arial" w:eastAsia="Arial" w:hAnsi="Arial"/>
          <w:sz w:val="16"/>
          <w:szCs w:val="16"/>
          <w:color w:val="auto"/>
        </w:rPr>
        <w:t>. In connection with the Directed Share Program, the Company will ensure that the Directed Shares will be restricted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required by the NASD or the NASD rules from sale, transfer, assignment, pledge or hypothecation for a period of three months following the date of the effectiveness of the Registration Statement. The Designated Underwriter will notify the Company as to which Participants will need to be so restricted. The Company will direct the transfer agent to place stop transfer restrictions upon such securities for such period of time.</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700" w:top="280" w:right="279" w:bottom="1440" w:gutter="0" w:footer="0" w:header="0"/>
        </w:sectPr>
      </w:pPr>
    </w:p>
    <w:bookmarkStart w:id="220" w:name="page221"/>
    <w:bookmarkEnd w:id="220"/>
    <w:p>
      <w:pPr>
        <w:ind w:left="440" w:right="440" w:firstLine="443"/>
        <w:spacing w:after="0" w:line="259" w:lineRule="auto"/>
        <w:tabs>
          <w:tab w:leader="none" w:pos="1097" w:val="left"/>
        </w:tabs>
        <w:numPr>
          <w:ilvl w:val="1"/>
          <w:numId w:val="16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Expenses Related to Directed Share Program</w:t>
      </w:r>
      <w:r>
        <w:rPr>
          <w:rFonts w:ascii="Arial" w:cs="Arial" w:eastAsia="Arial" w:hAnsi="Arial"/>
          <w:sz w:val="18"/>
          <w:szCs w:val="18"/>
          <w:color w:val="auto"/>
        </w:rPr>
        <w:t>. The Company will pay all fees and disbursements of counsel (including non-U.S.</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incurred by the Underwriters in connection with the Directed Share Program and stamp duties, similar taxes or duties or other taxes, if any, incurred by the underwriters in connection with the Directed Share Program.</w:t>
      </w:r>
    </w:p>
    <w:p>
      <w:pPr>
        <w:spacing w:after="0" w:line="59" w:lineRule="exact"/>
        <w:rPr>
          <w:rFonts w:ascii="Arial" w:cs="Arial" w:eastAsia="Arial" w:hAnsi="Arial"/>
          <w:sz w:val="18"/>
          <w:szCs w:val="18"/>
          <w:color w:val="auto"/>
        </w:rPr>
      </w:pPr>
    </w:p>
    <w:p>
      <w:pPr>
        <w:ind w:left="440" w:right="140" w:firstLine="443"/>
        <w:spacing w:after="0" w:line="268" w:lineRule="auto"/>
        <w:tabs>
          <w:tab w:leader="none" w:pos="1107" w:val="left"/>
        </w:tabs>
        <w:numPr>
          <w:ilvl w:val="1"/>
          <w:numId w:val="163"/>
        </w:numPr>
        <w:rPr>
          <w:rFonts w:ascii="Arial" w:cs="Arial" w:eastAsia="Arial" w:hAnsi="Arial"/>
          <w:sz w:val="18"/>
          <w:szCs w:val="18"/>
          <w:color w:val="auto"/>
        </w:rPr>
      </w:pPr>
      <w:r>
        <w:rPr>
          <w:rFonts w:ascii="Arial" w:cs="Arial" w:eastAsia="Arial" w:hAnsi="Arial"/>
          <w:sz w:val="18"/>
          <w:szCs w:val="18"/>
          <w:i w:val="1"/>
          <w:iCs w:val="1"/>
          <w:color w:val="auto"/>
        </w:rPr>
        <w:t>Compliance with Foreign Laws</w:t>
      </w:r>
      <w:r>
        <w:rPr>
          <w:rFonts w:ascii="Arial" w:cs="Arial" w:eastAsia="Arial" w:hAnsi="Arial"/>
          <w:sz w:val="18"/>
          <w:szCs w:val="18"/>
          <w:color w:val="auto"/>
        </w:rPr>
        <w:t>. The company will comply with all applicable securities and other applicable laws, rules and regulations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jurisdiction in which the Directed Shares are offered in connection with the Directed Share Program.</w:t>
      </w:r>
    </w:p>
    <w:p>
      <w:pPr>
        <w:spacing w:after="0" w:line="131" w:lineRule="exact"/>
        <w:rPr>
          <w:rFonts w:ascii="Arial" w:cs="Arial" w:eastAsia="Arial" w:hAnsi="Arial"/>
          <w:sz w:val="18"/>
          <w:szCs w:val="18"/>
          <w:color w:val="auto"/>
        </w:rPr>
      </w:pPr>
    </w:p>
    <w:p>
      <w:pPr>
        <w:ind w:left="-20" w:right="100" w:firstLine="464"/>
        <w:spacing w:after="0" w:line="310" w:lineRule="auto"/>
        <w:tabs>
          <w:tab w:leader="none" w:pos="612" w:val="left"/>
        </w:tabs>
        <w:numPr>
          <w:ilvl w:val="0"/>
          <w:numId w:val="164"/>
        </w:numPr>
        <w:rPr>
          <w:rFonts w:ascii="Arial" w:cs="Arial" w:eastAsia="Arial" w:hAnsi="Arial"/>
          <w:sz w:val="15"/>
          <w:szCs w:val="15"/>
          <w:color w:val="auto"/>
        </w:rPr>
      </w:pPr>
      <w:r>
        <w:rPr>
          <w:rFonts w:ascii="Arial" w:cs="Arial" w:eastAsia="Arial" w:hAnsi="Arial"/>
          <w:sz w:val="15"/>
          <w:szCs w:val="15"/>
          <w:i w:val="1"/>
          <w:iCs w:val="1"/>
          <w:color w:val="auto"/>
        </w:rPr>
        <w:t>Free Writing Prospectuses</w:t>
      </w:r>
      <w:r>
        <w:rPr>
          <w:rFonts w:ascii="Arial" w:cs="Arial" w:eastAsia="Arial" w:hAnsi="Arial"/>
          <w:sz w:val="15"/>
          <w:szCs w:val="15"/>
          <w:color w:val="auto"/>
        </w:rPr>
        <w:t>. The Company represents and agrees that, unless it obtains the prior consent of the Representatives, and each Underwriter</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Arial" w:cs="Arial" w:eastAsia="Arial" w:hAnsi="Arial"/>
          <w:sz w:val="15"/>
          <w:szCs w:val="15"/>
          <w:b w:val="1"/>
          <w:bCs w:val="1"/>
          <w:color w:val="auto"/>
        </w:rPr>
        <w:t>Permitted Free Writing Prospectus</w:t>
      </w:r>
      <w:r>
        <w:rPr>
          <w:rFonts w:ascii="Arial" w:cs="Arial" w:eastAsia="Arial" w:hAnsi="Arial"/>
          <w:sz w:val="15"/>
          <w:szCs w:val="15"/>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filing with the Commission where required, legending and record keeping. The Company represents that is has satisfied and agrees that it will satisfy the conditions in Rule 433 to avoid a requirement to file with the Commission any electronic road show.</w:t>
      </w:r>
    </w:p>
    <w:p>
      <w:pPr>
        <w:spacing w:after="0" w:line="108" w:lineRule="exact"/>
        <w:rPr>
          <w:rFonts w:ascii="Arial" w:cs="Arial" w:eastAsia="Arial" w:hAnsi="Arial"/>
          <w:sz w:val="15"/>
          <w:szCs w:val="15"/>
          <w:color w:val="auto"/>
        </w:rPr>
      </w:pPr>
    </w:p>
    <w:p>
      <w:pPr>
        <w:jc w:val="both"/>
        <w:ind w:left="-20" w:right="20" w:firstLine="464"/>
        <w:spacing w:after="0" w:line="298" w:lineRule="auto"/>
        <w:tabs>
          <w:tab w:leader="none" w:pos="612"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Conditions of the Obligations of the Underwriters</w:t>
      </w:r>
      <w:r>
        <w:rPr>
          <w:rFonts w:ascii="Arial" w:cs="Arial" w:eastAsia="Arial" w:hAnsi="Arial"/>
          <w:sz w:val="16"/>
          <w:szCs w:val="16"/>
          <w:color w:val="auto"/>
        </w:rPr>
        <w:t>. The obligations of the several Underwriters to purchase and pay for the Firm Securities on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and the Optional Securities to be purchased on each Optional Closing Date will be subject to the accuracy of the representations and warranties of the Company herein (as though made on such Closing Date), to the accuracy of the statements of Company officers made pursuant to the provisions hereof, to the performance by the Company of its obligations hereunder and to the following additional conditions precedent:</w:t>
      </w:r>
    </w:p>
    <w:p>
      <w:pPr>
        <w:spacing w:after="0" w:line="31" w:lineRule="exact"/>
        <w:rPr>
          <w:rFonts w:ascii="Arial" w:cs="Arial" w:eastAsia="Arial" w:hAnsi="Arial"/>
          <w:sz w:val="16"/>
          <w:szCs w:val="16"/>
          <w:color w:val="auto"/>
        </w:rPr>
      </w:pPr>
    </w:p>
    <w:p>
      <w:pPr>
        <w:ind w:left="440" w:firstLine="443"/>
        <w:spacing w:after="0" w:line="256" w:lineRule="auto"/>
        <w:tabs>
          <w:tab w:leader="none" w:pos="1117" w:val="left"/>
        </w:tabs>
        <w:numPr>
          <w:ilvl w:val="1"/>
          <w:numId w:val="164"/>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The Representatives shall have received letters, dated, respectively, the date hereof and each Closing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Deloitte Touche Tohmatsu CPA Ltd. confirming that they are a registered public accounting firm and independent public accountants within the meaning of the Securities Laws and substantially in the form of Schedule E hereto (except that, in any letter dated a Closing Date, the specified date referred to in Schedule E hereto shall be a date no more than three days prior to such Closing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280" w:right="259" w:bottom="1440" w:gutter="0" w:footer="0" w:header="0"/>
        </w:sectPr>
      </w:pPr>
    </w:p>
    <w:bookmarkStart w:id="221" w:name="page222"/>
    <w:bookmarkEnd w:id="221"/>
    <w:p>
      <w:pPr>
        <w:ind w:firstLine="443"/>
        <w:spacing w:after="0" w:line="291" w:lineRule="auto"/>
        <w:tabs>
          <w:tab w:leader="none" w:pos="687" w:val="left"/>
        </w:tabs>
        <w:numPr>
          <w:ilvl w:val="1"/>
          <w:numId w:val="16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Effectiveness of Registration Statement</w:t>
      </w:r>
      <w:r>
        <w:rPr>
          <w:rFonts w:ascii="Arial" w:cs="Arial" w:eastAsia="Arial" w:hAnsi="Arial"/>
          <w:sz w:val="16"/>
          <w:szCs w:val="16"/>
          <w:color w:val="auto"/>
        </w:rPr>
        <w:t>. If the Effective Time of the Additional Registration Statement (if any) is not prior to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such Effective Time shall have occurred not later than 10:00 p.m., New York time, on the date of this Agreement or, if earlier, the time the Final Prospectus is finalized and distributed to any Underwriter, or shall have occurred at such later time as shall have been consented to by the Representatives. The Final Prospectus shall have been filed with the Commission in accordance with the Rules and Regulations and Section 5(a) hereof. Prior to such Closing Date, no stop order suspending the effectiveness of a Registration Statement shall have been issued and no proceedings for that purpose shall have been instituted or, to the knowledge of the Company or the Representatives, shall be contemplated by the Commission.</w:t>
      </w:r>
    </w:p>
    <w:p>
      <w:pPr>
        <w:spacing w:after="0" w:line="39" w:lineRule="exact"/>
        <w:rPr>
          <w:rFonts w:ascii="Arial" w:cs="Arial" w:eastAsia="Arial" w:hAnsi="Arial"/>
          <w:sz w:val="16"/>
          <w:szCs w:val="16"/>
          <w:color w:val="auto"/>
        </w:rPr>
      </w:pPr>
    </w:p>
    <w:p>
      <w:pPr>
        <w:ind w:right="60" w:firstLine="443"/>
        <w:spacing w:after="0" w:line="301" w:lineRule="auto"/>
        <w:tabs>
          <w:tab w:leader="none" w:pos="677" w:val="left"/>
        </w:tabs>
        <w:numPr>
          <w:ilvl w:val="1"/>
          <w:numId w:val="165"/>
        </w:numPr>
        <w:rPr>
          <w:rFonts w:ascii="Arial" w:cs="Arial" w:eastAsia="Arial" w:hAnsi="Arial"/>
          <w:sz w:val="15"/>
          <w:szCs w:val="15"/>
          <w:color w:val="auto"/>
        </w:rPr>
      </w:pPr>
      <w:r>
        <w:rPr>
          <w:rFonts w:ascii="Arial" w:cs="Arial" w:eastAsia="Arial" w:hAnsi="Arial"/>
          <w:sz w:val="15"/>
          <w:szCs w:val="15"/>
          <w:i w:val="1"/>
          <w:iCs w:val="1"/>
          <w:color w:val="auto"/>
        </w:rPr>
        <w:t>No Material Adverse Change</w:t>
      </w:r>
      <w:r>
        <w:rPr>
          <w:rFonts w:ascii="Arial" w:cs="Arial" w:eastAsia="Arial" w:hAnsi="Arial"/>
          <w:sz w:val="15"/>
          <w:szCs w:val="15"/>
          <w:color w:val="auto"/>
        </w:rPr>
        <w:t>. Subsequent to the execution and delivery of this Agreement, there shall not have occurred (i) any change, or any</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or event involving a prospective change, in the condition (financial or otherwise), results of operations, business, properties or prospects of the Company and the Subsidiaries and Affiliated Entities taken as a whole which, in the judgment of the Representatives, is material and adverse and makes it impractical or inadvisable to market the Offered Securities; (ii) any downgrading in the rating of any debt securities of the Company by any “nationally recognized statistical rating organization” (as defined for purposes of Rule 436(g)), or any public announcement that any such organization has under surveillance or review its rating of any debt securities of the Company (other than an announcement with positive implications of a possible upgrading, and no implication of a possible downgrading, of such rating); (iii) any change in either United States, PRC, Cayman Islands or international financial, political or economic conditions or currency exchange rates or exchange controls the effect of which is such as to make it, in the judgment of the Representatives, impractical to market or to enforce contracts for the sale of the Offered Securities, whether in the primary market or in respect of dealings in the secondary market; (iv) any suspension or material limitation of trading in securities generally on the NYSE, or any setting of minimum or maximum prices for trading on such exchange; (v) or any suspension of trading of any securities of the Company on any exchange or in the over-the-counter market;</w:t>
      </w:r>
    </w:p>
    <w:p>
      <w:pPr>
        <w:spacing w:after="0" w:line="3" w:lineRule="exact"/>
        <w:rPr>
          <w:rFonts w:ascii="Arial" w:cs="Arial" w:eastAsia="Arial" w:hAnsi="Arial"/>
          <w:sz w:val="15"/>
          <w:szCs w:val="15"/>
          <w:color w:val="auto"/>
        </w:rPr>
      </w:pPr>
    </w:p>
    <w:p>
      <w:pPr>
        <w:ind w:firstLine="4"/>
        <w:spacing w:after="0" w:line="252" w:lineRule="auto"/>
        <w:tabs>
          <w:tab w:leader="none" w:pos="29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banking moratorium declared by any United States federal, New York, PRC or Cayman Islands authorities; (vii) any major disruption of settlements of securities, payment, or clearance services in the United States, the PRC, the Cayman Islands or any other country where such securities are listed; or (viii) any attack on, outbreak or escalation of hostilities or act of terrorism involving the United States, the PRC or the Cayman Islands,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market the Offered Securities or to enforce contracts for the sale of the Offered Securities.</w:t>
      </w:r>
    </w:p>
    <w:p>
      <w:pPr>
        <w:spacing w:after="0" w:line="13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80" w:right="259" w:bottom="1440" w:gutter="0" w:footer="0" w:header="0"/>
        </w:sectPr>
      </w:pPr>
    </w:p>
    <w:bookmarkStart w:id="222" w:name="page223"/>
    <w:bookmarkEnd w:id="222"/>
    <w:p>
      <w:pPr>
        <w:ind w:right="440" w:firstLine="443"/>
        <w:spacing w:after="0" w:line="268" w:lineRule="auto"/>
        <w:tabs>
          <w:tab w:leader="none" w:pos="687"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Opinion of United States Counsel for Company</w:t>
      </w:r>
      <w:r>
        <w:rPr>
          <w:rFonts w:ascii="Arial" w:cs="Arial" w:eastAsia="Arial" w:hAnsi="Arial"/>
          <w:sz w:val="18"/>
          <w:szCs w:val="18"/>
          <w:color w:val="auto"/>
        </w:rPr>
        <w:t>. The Representatives shall have received an opinion, dated such Closing Date, of Latham &amp;</w:t>
      </w:r>
      <w:r>
        <w:rPr>
          <w:rFonts w:ascii="Arial" w:cs="Arial" w:eastAsia="Arial" w:hAnsi="Arial"/>
          <w:sz w:val="18"/>
          <w:szCs w:val="18"/>
          <w:i w:val="1"/>
          <w:iCs w:val="1"/>
          <w:color w:val="auto"/>
        </w:rPr>
        <w:t xml:space="preserve"> </w:t>
      </w:r>
      <w:r>
        <w:rPr>
          <w:rFonts w:ascii="Arial" w:cs="Arial" w:eastAsia="Arial" w:hAnsi="Arial"/>
          <w:sz w:val="18"/>
          <w:szCs w:val="18"/>
          <w:color w:val="auto"/>
        </w:rPr>
        <w:t>Watkins LLP, United States counsel for the Company, substantially in the form of Schedule F hereto.</w:t>
      </w:r>
    </w:p>
    <w:p>
      <w:pPr>
        <w:spacing w:after="0" w:line="50" w:lineRule="exact"/>
        <w:rPr>
          <w:rFonts w:ascii="Arial" w:cs="Arial" w:eastAsia="Arial" w:hAnsi="Arial"/>
          <w:sz w:val="18"/>
          <w:szCs w:val="18"/>
          <w:color w:val="auto"/>
        </w:rPr>
      </w:pPr>
    </w:p>
    <w:p>
      <w:pPr>
        <w:ind w:right="380" w:firstLine="443"/>
        <w:spacing w:after="0" w:line="268" w:lineRule="auto"/>
        <w:tabs>
          <w:tab w:leader="none" w:pos="677"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Opinion of Cayman Islands Counsel for Company</w:t>
      </w:r>
      <w:r>
        <w:rPr>
          <w:rFonts w:ascii="Arial" w:cs="Arial" w:eastAsia="Arial" w:hAnsi="Arial"/>
          <w:sz w:val="18"/>
          <w:szCs w:val="18"/>
          <w:color w:val="auto"/>
        </w:rPr>
        <w:t>. The Representatives shall have received an opinion, dated such Closing Date, of Conyers</w:t>
      </w:r>
      <w:r>
        <w:rPr>
          <w:rFonts w:ascii="Arial" w:cs="Arial" w:eastAsia="Arial" w:hAnsi="Arial"/>
          <w:sz w:val="18"/>
          <w:szCs w:val="18"/>
          <w:i w:val="1"/>
          <w:iCs w:val="1"/>
          <w:color w:val="auto"/>
        </w:rPr>
        <w:t xml:space="preserve"> </w:t>
      </w:r>
      <w:r>
        <w:rPr>
          <w:rFonts w:ascii="Arial" w:cs="Arial" w:eastAsia="Arial" w:hAnsi="Arial"/>
          <w:sz w:val="18"/>
          <w:szCs w:val="18"/>
          <w:color w:val="auto"/>
        </w:rPr>
        <w:t>Dill &amp; Pearman, Cayman Islands counsel for the Company, substantially in the form of Schedule G hereto.</w:t>
      </w:r>
    </w:p>
    <w:p>
      <w:pPr>
        <w:spacing w:after="0" w:line="50" w:lineRule="exact"/>
        <w:rPr>
          <w:rFonts w:ascii="Arial" w:cs="Arial" w:eastAsia="Arial" w:hAnsi="Arial"/>
          <w:sz w:val="18"/>
          <w:szCs w:val="18"/>
          <w:color w:val="auto"/>
        </w:rPr>
      </w:pPr>
    </w:p>
    <w:p>
      <w:pPr>
        <w:ind w:right="280" w:firstLine="443"/>
        <w:spacing w:after="0" w:line="268" w:lineRule="auto"/>
        <w:tabs>
          <w:tab w:leader="none" w:pos="657"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Opinion of PRC Counsel for Company</w:t>
      </w:r>
      <w:r>
        <w:rPr>
          <w:rFonts w:ascii="Arial" w:cs="Arial" w:eastAsia="Arial" w:hAnsi="Arial"/>
          <w:sz w:val="18"/>
          <w:szCs w:val="18"/>
          <w:color w:val="auto"/>
        </w:rPr>
        <w:t>. The Representatives shall have received an opinion, dated such Closing Date, of Tian Yuan Law Firm,</w:t>
      </w:r>
      <w:r>
        <w:rPr>
          <w:rFonts w:ascii="Arial" w:cs="Arial" w:eastAsia="Arial" w:hAnsi="Arial"/>
          <w:sz w:val="18"/>
          <w:szCs w:val="18"/>
          <w:i w:val="1"/>
          <w:iCs w:val="1"/>
          <w:color w:val="auto"/>
        </w:rPr>
        <w:t xml:space="preserve"> </w:t>
      </w:r>
      <w:r>
        <w:rPr>
          <w:rFonts w:ascii="Arial" w:cs="Arial" w:eastAsia="Arial" w:hAnsi="Arial"/>
          <w:sz w:val="18"/>
          <w:szCs w:val="18"/>
          <w:color w:val="auto"/>
        </w:rPr>
        <w:t>PRC counsel for the Company, substantially in the form of Schedule H hereto.</w:t>
      </w:r>
    </w:p>
    <w:p>
      <w:pPr>
        <w:spacing w:after="0" w:line="50" w:lineRule="exact"/>
        <w:rPr>
          <w:rFonts w:ascii="Arial" w:cs="Arial" w:eastAsia="Arial" w:hAnsi="Arial"/>
          <w:sz w:val="18"/>
          <w:szCs w:val="18"/>
          <w:color w:val="auto"/>
        </w:rPr>
      </w:pPr>
    </w:p>
    <w:p>
      <w:pPr>
        <w:ind w:right="120" w:firstLine="443"/>
        <w:spacing w:after="0" w:line="291" w:lineRule="auto"/>
        <w:tabs>
          <w:tab w:leader="none" w:pos="687"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Opinion of United States Counsel for Underwriters. </w:t>
      </w:r>
      <w:r>
        <w:rPr>
          <w:rFonts w:ascii="Arial" w:cs="Arial" w:eastAsia="Arial" w:hAnsi="Arial"/>
          <w:sz w:val="16"/>
          <w:szCs w:val="16"/>
          <w:color w:val="auto"/>
        </w:rPr>
        <w:t>The Representatives shall have received from Shearman &amp; Sterling LLP,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for the Underwriters, such opinion or opinions, dated such Closing Date, with respect to such matters as the Representatives may require, and the Company shall have furnished to such counsel such documents as they request for the purpose of enabling them to pass upon such matters. In rendering such opinion, Shearman &amp; Sterling LLP may rely as to the incorporation of the Company and all other matters governed by the Cayman Islands law upon the opinion of Conyers Dill &amp; Pearman referred to above; Shearman &amp; Sterling LLP may rely as to all matters governed by PRC law upon the opinion of Tian Yuan Law Firm referred to in Section 9(f) above and the opinion of Haiwen &amp; Partners referred to in Section 9(j) below.</w:t>
      </w:r>
    </w:p>
    <w:p>
      <w:pPr>
        <w:spacing w:after="0" w:line="39" w:lineRule="exact"/>
        <w:rPr>
          <w:rFonts w:ascii="Arial" w:cs="Arial" w:eastAsia="Arial" w:hAnsi="Arial"/>
          <w:sz w:val="16"/>
          <w:szCs w:val="16"/>
          <w:color w:val="auto"/>
        </w:rPr>
      </w:pPr>
    </w:p>
    <w:p>
      <w:pPr>
        <w:jc w:val="both"/>
        <w:ind w:right="60" w:firstLine="443"/>
        <w:spacing w:after="0" w:line="306" w:lineRule="auto"/>
        <w:tabs>
          <w:tab w:leader="none" w:pos="687"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Opinion of PRC Counsel for Underwriters. </w:t>
      </w:r>
      <w:r>
        <w:rPr>
          <w:rFonts w:ascii="Arial" w:cs="Arial" w:eastAsia="Arial" w:hAnsi="Arial"/>
          <w:sz w:val="16"/>
          <w:szCs w:val="16"/>
          <w:color w:val="auto"/>
        </w:rPr>
        <w:t>The Representatives shall have received from Haiwen &amp; Partners, PRC counsel for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such opinion or opinions, dated such Closing Date, with respect to such matters as the Representatives may require, and the Company shall have furnished to such counsel such documents as they request for the purpose of enabling them to pass upon such matters.</w:t>
      </w:r>
    </w:p>
    <w:p>
      <w:pPr>
        <w:spacing w:after="0" w:line="25" w:lineRule="exact"/>
        <w:rPr>
          <w:rFonts w:ascii="Arial" w:cs="Arial" w:eastAsia="Arial" w:hAnsi="Arial"/>
          <w:sz w:val="16"/>
          <w:szCs w:val="16"/>
          <w:color w:val="auto"/>
        </w:rPr>
      </w:pPr>
    </w:p>
    <w:p>
      <w:pPr>
        <w:ind w:right="400" w:firstLine="443"/>
        <w:spacing w:after="0" w:line="268" w:lineRule="auto"/>
        <w:tabs>
          <w:tab w:leader="none" w:pos="648"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Depositary. </w:t>
      </w:r>
      <w:r>
        <w:rPr>
          <w:rFonts w:ascii="Arial" w:cs="Arial" w:eastAsia="Arial" w:hAnsi="Arial"/>
          <w:sz w:val="18"/>
          <w:szCs w:val="18"/>
          <w:color w:val="auto"/>
        </w:rPr>
        <w:t>The Representatives shall have received from White &amp; Case, counsel for the Depositary, such opinion or</w:t>
      </w:r>
      <w:r>
        <w:rPr>
          <w:rFonts w:ascii="Arial" w:cs="Arial" w:eastAsia="Arial" w:hAnsi="Arial"/>
          <w:sz w:val="18"/>
          <w:szCs w:val="18"/>
          <w:i w:val="1"/>
          <w:iCs w:val="1"/>
          <w:color w:val="auto"/>
        </w:rPr>
        <w:t xml:space="preserve"> </w:t>
      </w:r>
      <w:r>
        <w:rPr>
          <w:rFonts w:ascii="Arial" w:cs="Arial" w:eastAsia="Arial" w:hAnsi="Arial"/>
          <w:sz w:val="18"/>
          <w:szCs w:val="18"/>
          <w:color w:val="auto"/>
        </w:rPr>
        <w:t>opinions, dated such Closing Date, substantially in the form of Schedule I hereto.</w:t>
      </w:r>
    </w:p>
    <w:p>
      <w:pPr>
        <w:spacing w:after="0" w:line="50" w:lineRule="exact"/>
        <w:rPr>
          <w:rFonts w:ascii="Arial" w:cs="Arial" w:eastAsia="Arial" w:hAnsi="Arial"/>
          <w:sz w:val="18"/>
          <w:szCs w:val="18"/>
          <w:color w:val="auto"/>
        </w:rPr>
      </w:pPr>
    </w:p>
    <w:p>
      <w:pPr>
        <w:ind w:firstLine="443"/>
        <w:spacing w:after="0" w:line="287" w:lineRule="auto"/>
        <w:tabs>
          <w:tab w:leader="none" w:pos="648"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Executive Officers’ Certificate</w:t>
      </w:r>
      <w:r>
        <w:rPr>
          <w:rFonts w:ascii="Arial" w:cs="Arial" w:eastAsia="Arial" w:hAnsi="Arial"/>
          <w:sz w:val="16"/>
          <w:szCs w:val="16"/>
          <w:color w:val="auto"/>
        </w:rPr>
        <w:t>. The Representatives shall have received a certificate, dated such Closing Date, of the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Chief Financial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to the best of their knowledge and after reasonable investigation, are contemplated by the Commission; the Additional Registration Statement (if any) satisfying the requirements of subparagraphs (1) and (3) of Rule 462(b) was timely filed pursuant to Rule 462(b), including payment of the applicable filing fee in accordance with Rule 111(a) or (b) of Regulation S-T of the Commission; and, subsequent to the date of the most recent financial statements in the General Disclosure Package, there has been no material adverse change, nor any development or event involving a prospective material adverse change, in the condition (financial or otherwise), results of operations, business, properties or prospects of the Company and the Subsidiaries and Affiliated Entities taken as a whole except as set forth in the General Disclosure Package or as described in such certificate.</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80" w:right="259" w:bottom="1440" w:gutter="0" w:footer="0" w:header="0"/>
        </w:sectPr>
      </w:pPr>
    </w:p>
    <w:bookmarkStart w:id="223" w:name="page224"/>
    <w:bookmarkEnd w:id="223"/>
    <w:p>
      <w:pPr>
        <w:ind w:right="40" w:firstLine="443"/>
        <w:spacing w:after="0" w:line="357" w:lineRule="auto"/>
        <w:tabs>
          <w:tab w:leader="none" w:pos="687"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Lock-up Agreements</w:t>
      </w:r>
      <w:r>
        <w:rPr>
          <w:rFonts w:ascii="Arial" w:cs="Arial" w:eastAsia="Arial" w:hAnsi="Arial"/>
          <w:sz w:val="15"/>
          <w:szCs w:val="15"/>
          <w:color w:val="auto"/>
        </w:rPr>
        <w:t>. On or prior to the date hereof, the Representatives shall have received lockup letters, substantially in the form of Schedule J</w:t>
      </w:r>
      <w:r>
        <w:rPr>
          <w:rFonts w:ascii="Arial" w:cs="Arial" w:eastAsia="Arial" w:hAnsi="Arial"/>
          <w:sz w:val="15"/>
          <w:szCs w:val="15"/>
          <w:i w:val="1"/>
          <w:iCs w:val="1"/>
          <w:color w:val="auto"/>
        </w:rPr>
        <w:t xml:space="preserve"> </w:t>
      </w:r>
      <w:r>
        <w:rPr>
          <w:rFonts w:ascii="Arial" w:cs="Arial" w:eastAsia="Arial" w:hAnsi="Arial"/>
          <w:sz w:val="15"/>
          <w:szCs w:val="15"/>
          <w:color w:val="auto"/>
        </w:rPr>
        <w:t>hereto, from each of the executive officers and directors of the Company and certain existing shareholders of the Company named in Schedule B hereto.</w:t>
      </w:r>
    </w:p>
    <w:p>
      <w:pPr>
        <w:jc w:val="both"/>
        <w:ind w:right="860" w:firstLine="443"/>
        <w:spacing w:after="0" w:line="357" w:lineRule="auto"/>
        <w:tabs>
          <w:tab w:leader="none" w:pos="648"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t xml:space="preserve">Filing of Issuer Free Writing Prospectus. </w:t>
      </w:r>
      <w:r>
        <w:rPr>
          <w:rFonts w:ascii="Arial" w:cs="Arial" w:eastAsia="Arial" w:hAnsi="Arial"/>
          <w:sz w:val="15"/>
          <w:szCs w:val="15"/>
          <w:color w:val="auto"/>
        </w:rPr>
        <w:t>No Issuer Free Writing Prospectus, Statutory Prospectus or amendment or supplement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Statement, the ADS Registration Statement or the Prospectus shall have been filed to which the Representatives object in writing.</w:t>
      </w:r>
    </w:p>
    <w:p>
      <w:pPr>
        <w:ind w:firstLine="443"/>
        <w:spacing w:after="0" w:line="256" w:lineRule="auto"/>
        <w:tabs>
          <w:tab w:leader="none" w:pos="735"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Between the time of execution of this Agreement and such Closing Date, no material adverse change, nor any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or event involving a prospective material adverse change, in the condition (financial or otherwise), results of operations, business, properties or prospects of the Company and the Subsidiaries and Affiliated Entities taken as a whole except as set forth in the General Disclosure Package, shall occur or become known.</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The Offered Securities shall have been approved for listing on the NYSE, subject only to notice of issuance.</w:t>
      </w:r>
    </w:p>
    <w:p>
      <w:pPr>
        <w:spacing w:after="0" w:line="90" w:lineRule="exact"/>
        <w:rPr>
          <w:rFonts w:ascii="Arial" w:cs="Arial" w:eastAsia="Arial" w:hAnsi="Arial"/>
          <w:sz w:val="18"/>
          <w:szCs w:val="18"/>
          <w:color w:val="auto"/>
        </w:rPr>
      </w:pPr>
    </w:p>
    <w:p>
      <w:pPr>
        <w:ind w:right="520" w:firstLine="443"/>
        <w:spacing w:after="0" w:line="268" w:lineRule="auto"/>
        <w:tabs>
          <w:tab w:leader="none" w:pos="687"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Execution of Deposit Agreement. </w:t>
      </w:r>
      <w:r>
        <w:rPr>
          <w:rFonts w:ascii="Arial" w:cs="Arial" w:eastAsia="Arial" w:hAnsi="Arial"/>
          <w:sz w:val="18"/>
          <w:szCs w:val="18"/>
          <w:color w:val="auto"/>
        </w:rPr>
        <w:t>The Company and the Depositary shall have executed and delivered the Deposit Agreement, in form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substance satisfactory to the Underwriters, and the Deposit Agreement shall be in full force and effect.</w:t>
      </w:r>
    </w:p>
    <w:p>
      <w:pPr>
        <w:spacing w:after="0" w:line="50" w:lineRule="exact"/>
        <w:rPr>
          <w:rFonts w:ascii="Arial" w:cs="Arial" w:eastAsia="Arial" w:hAnsi="Arial"/>
          <w:sz w:val="18"/>
          <w:szCs w:val="18"/>
          <w:color w:val="auto"/>
        </w:rPr>
      </w:pPr>
    </w:p>
    <w:p>
      <w:pPr>
        <w:ind w:right="360" w:firstLine="443"/>
        <w:spacing w:after="0" w:line="298" w:lineRule="auto"/>
        <w:tabs>
          <w:tab w:leader="none" w:pos="687"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Deposit of Securities. </w:t>
      </w:r>
      <w:r>
        <w:rPr>
          <w:rFonts w:ascii="Arial" w:cs="Arial" w:eastAsia="Arial" w:hAnsi="Arial"/>
          <w:sz w:val="16"/>
          <w:szCs w:val="16"/>
          <w:color w:val="auto"/>
        </w:rPr>
        <w:t>The Depositary shall have delivered to the Company at such Closing Date certificates satisfactory to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evidencing the deposit with the Depositary or its nominee of the Common Shares being so deposited against issuance of ADRs evidencing the Offered Securities to be delivered by the Company at such Closing Date, and the execution, countersignature (if applicable), issuance and delivery of ADRs evidencing such Offered Securities pursuant to the Deposit Agreement.</w:t>
      </w:r>
    </w:p>
    <w:p>
      <w:pPr>
        <w:spacing w:after="0" w:line="31" w:lineRule="exact"/>
        <w:rPr>
          <w:rFonts w:ascii="Arial" w:cs="Arial" w:eastAsia="Arial" w:hAnsi="Arial"/>
          <w:sz w:val="16"/>
          <w:szCs w:val="16"/>
          <w:color w:val="auto"/>
        </w:rPr>
      </w:pPr>
    </w:p>
    <w:p>
      <w:pPr>
        <w:ind w:right="240" w:firstLine="443"/>
        <w:spacing w:after="0" w:line="268" w:lineRule="auto"/>
        <w:tabs>
          <w:tab w:leader="none" w:pos="687"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No objection. </w:t>
      </w:r>
      <w:r>
        <w:rPr>
          <w:rFonts w:ascii="Arial" w:cs="Arial" w:eastAsia="Arial" w:hAnsi="Arial"/>
          <w:sz w:val="18"/>
          <w:szCs w:val="18"/>
          <w:color w:val="auto"/>
        </w:rPr>
        <w:t>On or prior to such Closing Date, the NASD shall have confirmed that it has not raised any objection with respect to the fairness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reasonableness of the underwriting terms and arrangements.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80" w:right="259" w:bottom="1440" w:gutter="0" w:footer="0" w:header="0"/>
        </w:sectPr>
      </w:pPr>
    </w:p>
    <w:bookmarkStart w:id="224" w:name="page225"/>
    <w:bookmarkEnd w:id="224"/>
    <w:p>
      <w:pPr>
        <w:ind w:left="460" w:right="520" w:firstLine="443"/>
        <w:spacing w:after="0" w:line="268" w:lineRule="auto"/>
        <w:tabs>
          <w:tab w:leader="none" w:pos="1117"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Furnishing of Prospectuses. </w:t>
      </w:r>
      <w:r>
        <w:rPr>
          <w:rFonts w:ascii="Arial" w:cs="Arial" w:eastAsia="Arial" w:hAnsi="Arial"/>
          <w:sz w:val="18"/>
          <w:szCs w:val="18"/>
          <w:color w:val="auto"/>
        </w:rPr>
        <w:t>The Company shall have complied with the provisions of Section 5(e) hereof with respect to the furnishing of</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prospectuses to the Underwriters.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will furnish the Representatives with such conformed copies of such opinions, certificates, letters and documents as the Representatives reasonably request. The Representatives may in their sole discretion waive on behalf of the Underwriters compliance with any conditions to the obligations of the Underwriters hereunder, whether in respect of an Optional Closing Date or otherwise.</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several obligations of the Underwriters to purchase Optional Securities hereunder are subject to the delivery to the Representatives on the applicable Closing Date of such documents as the Representatives may reasonably request with respect to the good standing of the Company, the due authorization and issuance of the Optional Securities to be sold on such Closing Date and other matters related to the issuance of such Optional Securities.</w:t>
      </w:r>
    </w:p>
    <w:p>
      <w:pPr>
        <w:spacing w:after="0" w:line="107" w:lineRule="exact"/>
        <w:rPr>
          <w:sz w:val="20"/>
          <w:szCs w:val="20"/>
          <w:color w:val="auto"/>
        </w:rPr>
      </w:pPr>
    </w:p>
    <w:p>
      <w:pPr>
        <w:ind w:right="60" w:firstLine="464"/>
        <w:spacing w:after="0" w:line="306" w:lineRule="auto"/>
        <w:tabs>
          <w:tab w:leader="none" w:pos="632" w:val="left"/>
        </w:tabs>
        <w:numPr>
          <w:ilvl w:val="0"/>
          <w:numId w:val="170"/>
        </w:numPr>
        <w:rPr>
          <w:rFonts w:ascii="Arial" w:cs="Arial" w:eastAsia="Arial" w:hAnsi="Arial"/>
          <w:sz w:val="15"/>
          <w:szCs w:val="15"/>
          <w:color w:val="auto"/>
        </w:rPr>
      </w:pPr>
      <w:r>
        <w:rPr>
          <w:rFonts w:ascii="Arial" w:cs="Arial" w:eastAsia="Arial" w:hAnsi="Arial"/>
          <w:sz w:val="15"/>
          <w:szCs w:val="15"/>
          <w:i w:val="1"/>
          <w:iCs w:val="1"/>
          <w:color w:val="auto"/>
        </w:rPr>
        <w:t>Indemnification and Contribution</w:t>
      </w:r>
      <w:r>
        <w:rPr>
          <w:rFonts w:ascii="Arial" w:cs="Arial" w:eastAsia="Arial" w:hAnsi="Arial"/>
          <w:sz w:val="15"/>
          <w:szCs w:val="15"/>
          <w:color w:val="auto"/>
        </w:rPr>
        <w:t>. (a)</w:t>
      </w:r>
      <w:r>
        <w:rPr>
          <w:rFonts w:ascii="Arial" w:cs="Arial" w:eastAsia="Arial" w:hAnsi="Arial"/>
          <w:sz w:val="15"/>
          <w:szCs w:val="15"/>
          <w:i w:val="1"/>
          <w:iCs w:val="1"/>
          <w:color w:val="auto"/>
        </w:rPr>
        <w:t xml:space="preserve"> Indemnification of Underwriters</w:t>
      </w:r>
      <w:r>
        <w:rPr>
          <w:rFonts w:ascii="Arial" w:cs="Arial" w:eastAsia="Arial" w:hAnsi="Arial"/>
          <w:sz w:val="15"/>
          <w:szCs w:val="15"/>
          <w:color w:val="auto"/>
        </w:rPr>
        <w:t>. The Company will indemnify and hold harmless each Underwriter, its partners,</w:t>
      </w:r>
      <w:r>
        <w:rPr>
          <w:rFonts w:ascii="Arial" w:cs="Arial" w:eastAsia="Arial" w:hAnsi="Arial"/>
          <w:sz w:val="15"/>
          <w:szCs w:val="15"/>
          <w:i w:val="1"/>
          <w:iCs w:val="1"/>
          <w:color w:val="auto"/>
        </w:rPr>
        <w:t xml:space="preserve"> </w:t>
      </w:r>
      <w:r>
        <w:rPr>
          <w:rFonts w:ascii="Arial" w:cs="Arial" w:eastAsia="Arial" w:hAnsi="Arial"/>
          <w:sz w:val="15"/>
          <w:szCs w:val="15"/>
          <w:color w:val="auto"/>
        </w:rPr>
        <w:t>members, directors, officers, employees, agents, affiliates and each person, if any, who controls such Underwriter within the meaning of Section 15 of the Act or Section 20 of the Exchange Act (each, an “</w:t>
      </w:r>
      <w:r>
        <w:rPr>
          <w:rFonts w:ascii="Arial" w:cs="Arial" w:eastAsia="Arial" w:hAnsi="Arial"/>
          <w:sz w:val="15"/>
          <w:szCs w:val="15"/>
          <w:b w:val="1"/>
          <w:bCs w:val="1"/>
          <w:color w:val="auto"/>
        </w:rPr>
        <w:t>Indemnified Party</w:t>
      </w:r>
      <w:r>
        <w:rPr>
          <w:rFonts w:ascii="Arial" w:cs="Arial" w:eastAsia="Arial" w:hAnsi="Arial"/>
          <w:sz w:val="15"/>
          <w:szCs w:val="15"/>
          <w:color w:val="auto"/>
        </w:rPr>
        <w:t xml:space="preserve">”),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Final Prospectus or any Issuer Free Writing Prospectus,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(b) below.</w:t>
      </w:r>
    </w:p>
    <w:p>
      <w:pPr>
        <w:spacing w:after="0" w:line="10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agrees to indemnify and hold harmless the Designated Underwriter and its affiliates and each person, if any, who controls the Designated Underwriter within the meaning of either Section 15 of the Securities Act or Section 20 of the Exchange Act (the “</w:t>
      </w:r>
      <w:r>
        <w:rPr>
          <w:rFonts w:ascii="Arial" w:cs="Arial" w:eastAsia="Arial" w:hAnsi="Arial"/>
          <w:sz w:val="16"/>
          <w:szCs w:val="16"/>
          <w:b w:val="1"/>
          <w:bCs w:val="1"/>
          <w:color w:val="auto"/>
        </w:rPr>
        <w:t>Designated Entities</w:t>
      </w:r>
      <w:r>
        <w:rPr>
          <w:rFonts w:ascii="Arial" w:cs="Arial" w:eastAsia="Arial" w:hAnsi="Arial"/>
          <w:sz w:val="16"/>
          <w:szCs w:val="16"/>
          <w:color w:val="auto"/>
        </w:rPr>
        <w:t>”), from and against any and all losses, claims, damages and liabilities (including, without limitation, any legal or other expenses reasonably incurred in connection with defending or investigating any such action or claim) (i) arising out of or based upon any untrue statement or alleged untrue statement of a material fact contained in any material prepared by or with the consent of the Company for distribution to Participants in connection with the Directed Share Program arising out of or based upon any omission or alleged omission of a material fact required to be stated therein or necessary to make the statements therein not misleading; (ii) arising out of or based upon the failure of any Participant to pay for and accept delivery of Directed Shares that the Participant agreed to purchase; or (iii) arising out of, related to or in connection with the Directed Share Program, other than losses, claims, damages or liabilities (or expenses relating thereto) that are finally judicially determined to have resulted from the willful misconduct or gross negligence of the Designated Entities.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80" w:right="299" w:bottom="1440" w:gutter="0" w:footer="0" w:header="0"/>
        </w:sectPr>
      </w:pPr>
    </w:p>
    <w:bookmarkStart w:id="225" w:name="page226"/>
    <w:bookmarkEnd w:id="225"/>
    <w:p>
      <w:pPr>
        <w:ind w:right="20" w:firstLine="464"/>
        <w:spacing w:after="0" w:line="285" w:lineRule="auto"/>
        <w:tabs>
          <w:tab w:leader="none" w:pos="705" w:val="left"/>
        </w:tabs>
        <w:numPr>
          <w:ilvl w:val="1"/>
          <w:numId w:val="17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of Company</w:t>
      </w:r>
      <w:r>
        <w:rPr>
          <w:rFonts w:ascii="Arial" w:cs="Arial" w:eastAsia="Arial" w:hAnsi="Arial"/>
          <w:sz w:val="16"/>
          <w:szCs w:val="16"/>
          <w:color w:val="auto"/>
        </w:rPr>
        <w:t>. Each Underwriter will severally and not jointly indemnify and hold harmless the Company, each of its directors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its officers who signs a Registration Statement and each person, if any, who controls the Company within the meaning of Section 15 of the Act or Section 20 of the Exchange Act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Final Prospectus,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concession and reallowance figures appearing in the [·] paragraph under the caption “Underwriting” and the information contained in [·] paragraph under the caption “Underwriting”.</w:t>
      </w:r>
    </w:p>
    <w:p>
      <w:pPr>
        <w:spacing w:after="0" w:line="126" w:lineRule="exact"/>
        <w:rPr>
          <w:rFonts w:ascii="Arial" w:cs="Arial" w:eastAsia="Arial" w:hAnsi="Arial"/>
          <w:sz w:val="16"/>
          <w:szCs w:val="16"/>
          <w:color w:val="auto"/>
        </w:rPr>
      </w:pPr>
    </w:p>
    <w:p>
      <w:pPr>
        <w:jc w:val="both"/>
        <w:ind w:right="120" w:firstLine="464"/>
        <w:spacing w:after="0" w:line="284" w:lineRule="auto"/>
        <w:tabs>
          <w:tab w:leader="none" w:pos="695" w:val="left"/>
        </w:tabs>
        <w:numPr>
          <w:ilvl w:val="1"/>
          <w:numId w:val="171"/>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Promptly after receipt by an indemnified party under this Section of notice of the commencement of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such indemnified party will, if a claim in respect thereof is to be made against the indemnifying party under subsection (a) or (b) above, notify the indemnifying party of the commencement thereof; but the failure to notify the indemnifying party shall not relieve it from any liability that it may have under subsection (a) or</w:t>
      </w:r>
    </w:p>
    <w:p>
      <w:pPr>
        <w:spacing w:after="0" w:line="1" w:lineRule="exact"/>
        <w:rPr>
          <w:rFonts w:ascii="Arial" w:cs="Arial" w:eastAsia="Arial" w:hAnsi="Arial"/>
          <w:sz w:val="16"/>
          <w:szCs w:val="16"/>
          <w:color w:val="auto"/>
        </w:rPr>
      </w:pPr>
    </w:p>
    <w:p>
      <w:pPr>
        <w:ind w:right="80" w:firstLine="8"/>
        <w:spacing w:after="0" w:line="300" w:lineRule="auto"/>
        <w:tabs>
          <w:tab w:leader="none" w:pos="249" w:val="left"/>
        </w:tabs>
        <w:numPr>
          <w:ilvl w:val="0"/>
          <w:numId w:val="172"/>
        </w:numPr>
        <w:rPr>
          <w:rFonts w:ascii="Arial" w:cs="Arial" w:eastAsia="Arial" w:hAnsi="Arial"/>
          <w:sz w:val="15"/>
          <w:szCs w:val="15"/>
          <w:color w:val="auto"/>
        </w:rPr>
      </w:pPr>
      <w:r>
        <w:rPr>
          <w:rFonts w:ascii="Arial" w:cs="Arial" w:eastAsia="Arial" w:hAnsi="Arial"/>
          <w:sz w:val="15"/>
          <w:szCs w:val="15"/>
          <w:color w:val="auto"/>
        </w:rPr>
        <w:t>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subsection</w:t>
      </w:r>
    </w:p>
    <w:p>
      <w:pPr>
        <w:ind w:firstLine="8"/>
        <w:spacing w:after="0" w:line="285" w:lineRule="auto"/>
        <w:tabs>
          <w:tab w:leader="none" w:pos="23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Notwithstanding anything contained herein to the contrary, if indemnity may be sought pursuant to the last paragraph in Section 8(a) hereof in respect of such action or proceeding, then in addition to such separate firm for the indemnified parties, the indemnifying party shall be liable for the reasonable fees and expenses of not more than one separate firm (in addition to any local counsel) for the Designated Underwriter for the defense of any losses, claims, damages and liabilities arising out of the Directed Share Program, and all persons, if any, who control the Designated Underwriter within the meaning of either Section 15 of the Act of Section 20 of the Exchange Act.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226" w:name="page227"/>
    <w:bookmarkEnd w:id="226"/>
    <w:p>
      <w:pPr>
        <w:ind w:left="712" w:hanging="256"/>
        <w:spacing w:after="0"/>
        <w:tabs>
          <w:tab w:leader="none" w:pos="712" w:val="left"/>
        </w:tabs>
        <w:numPr>
          <w:ilvl w:val="1"/>
          <w:numId w:val="17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w:t>
      </w:r>
      <w:r>
        <w:rPr>
          <w:rFonts w:ascii="Arial" w:cs="Arial" w:eastAsia="Arial" w:hAnsi="Arial"/>
          <w:sz w:val="16"/>
          <w:szCs w:val="16"/>
          <w:color w:val="auto"/>
        </w:rPr>
        <w:t>. If the indemnification provided for in this Section is unavailable or insufficient to hold harmless an indemnified party under subsection</w:t>
      </w:r>
    </w:p>
    <w:p>
      <w:pPr>
        <w:spacing w:after="0" w:line="38" w:lineRule="exact"/>
        <w:rPr>
          <w:rFonts w:ascii="Arial" w:cs="Arial" w:eastAsia="Arial" w:hAnsi="Arial"/>
          <w:sz w:val="16"/>
          <w:szCs w:val="16"/>
          <w:color w:val="auto"/>
        </w:rPr>
      </w:pPr>
    </w:p>
    <w:p>
      <w:pPr>
        <w:ind w:left="-8" w:firstLine="8"/>
        <w:spacing w:after="0" w:line="284" w:lineRule="auto"/>
        <w:tabs>
          <w:tab w:leader="none" w:pos="23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12"/>
          </w:cols>
          <w:pgMar w:left="248" w:top="280" w:right="239" w:bottom="1440" w:gutter="0" w:footer="0" w:header="0"/>
        </w:sectPr>
      </w:pPr>
    </w:p>
    <w:bookmarkStart w:id="227" w:name="page228"/>
    <w:bookmarkEnd w:id="227"/>
    <w:p>
      <w:pPr>
        <w:ind w:right="40" w:firstLine="464"/>
        <w:spacing w:after="0" w:line="255"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Persons</w:t>
      </w:r>
      <w:r>
        <w:rPr>
          <w:rFonts w:ascii="Arial" w:cs="Arial" w:eastAsia="Arial" w:hAnsi="Arial"/>
          <w:sz w:val="18"/>
          <w:szCs w:val="18"/>
          <w:color w:val="auto"/>
        </w:rPr>
        <w:t>. The obligations of the Company under this Section shall be in addition to any liability which the Company may otherwise have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extend, upon the same terms and conditions, to each person, if any, who controls any Underwriter within the meaning of the Act; and the obligations of the Underwriters under this Section shall be in addition to any liability which the respective Underwriters may otherwise have and shall extend, upon the same terms and conditions, to each director of the Company, to each officer of the Company who has signed a Registration Statement and to each person, if any, who controls the Company within the meaning of the Act.</w:t>
      </w:r>
    </w:p>
    <w:p>
      <w:pPr>
        <w:spacing w:after="0" w:line="143" w:lineRule="exact"/>
        <w:rPr>
          <w:sz w:val="20"/>
          <w:szCs w:val="20"/>
          <w:color w:val="auto"/>
        </w:rPr>
      </w:pPr>
    </w:p>
    <w:p>
      <w:pPr>
        <w:ind w:firstLine="464"/>
        <w:spacing w:after="0" w:line="286" w:lineRule="auto"/>
        <w:tabs>
          <w:tab w:leader="none" w:pos="632"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Default of Underwriters</w:t>
      </w:r>
      <w:r>
        <w:rPr>
          <w:rFonts w:ascii="Arial" w:cs="Arial" w:eastAsia="Arial" w:hAnsi="Arial"/>
          <w:sz w:val="16"/>
          <w:szCs w:val="16"/>
          <w:color w:val="auto"/>
        </w:rPr>
        <w:t>. If any Underwriter or Underwriters default in their obligations to purchase Offered Securities hereunder on either the First or</w:t>
      </w:r>
      <w:r>
        <w:rPr>
          <w:rFonts w:ascii="Arial" w:cs="Arial" w:eastAsia="Arial" w:hAnsi="Arial"/>
          <w:sz w:val="16"/>
          <w:szCs w:val="16"/>
          <w:i w:val="1"/>
          <w:iCs w:val="1"/>
          <w:color w:val="auto"/>
        </w:rPr>
        <w:t xml:space="preserve"> </w:t>
      </w:r>
      <w:r>
        <w:rPr>
          <w:rFonts w:ascii="Arial" w:cs="Arial" w:eastAsia="Arial" w:hAnsi="Arial"/>
          <w:sz w:val="16"/>
          <w:szCs w:val="16"/>
          <w:color w:val="auto"/>
        </w:rPr>
        <w:t>any Optional Closing Date and the aggregate number of Offered Securities that such defaulting Underwriter or Underwriters agreed but failed to purchase does not exceed 10% of the total number of Offered Securities that the Underwriters are obligated to purchase on such Closing Date, the Representatives may make arrangements satisfactory to the Company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Offered Securities with respect to which such default or defaults occur exceeds 10% of the total number of Offered Securities that the Underwriters are obligated to purchase on such Closing Date and arrangements satisfactory to the Representatives and the Company for the purchase of such Offered Securities by other persons are not made within 36 hours after such default, this Agreement will terminate without liability on the part of any non-defaulting Underwriter or the Company, except as provided in Section 10 (provided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228" w:name="page229"/>
    <w:bookmarkEnd w:id="228"/>
    <w:p>
      <w:pPr>
        <w:ind w:left="-40" w:right="140" w:firstLine="464"/>
        <w:spacing w:after="0" w:line="290" w:lineRule="auto"/>
        <w:tabs>
          <w:tab w:leader="none" w:pos="680"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Survival of Certain Representations and Obligations</w:t>
      </w:r>
      <w:r>
        <w:rPr>
          <w:rFonts w:ascii="Arial" w:cs="Arial" w:eastAsia="Arial" w:hAnsi="Arial"/>
          <w:sz w:val="16"/>
          <w:szCs w:val="16"/>
          <w:color w:val="auto"/>
        </w:rPr>
        <w:t>. The respective indemnities, agreements, representations, warranties and other statements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Offered Securities. If the purchase of the Offered Securities by the Underwriters is not consummated for any reason, the respective obligations of the Company and the Underwriters pursuant to Section 8 hereof shall remain in effect. In addition, if any Offered Securities have been purchased hereunder, the representations and warranties in Section 2 and all obligations under Section 5 shall also remain in effect.</w:t>
      </w:r>
    </w:p>
    <w:p>
      <w:pPr>
        <w:spacing w:after="0" w:line="118" w:lineRule="exact"/>
        <w:rPr>
          <w:rFonts w:ascii="Arial" w:cs="Arial" w:eastAsia="Arial" w:hAnsi="Arial"/>
          <w:sz w:val="16"/>
          <w:szCs w:val="16"/>
          <w:color w:val="auto"/>
        </w:rPr>
      </w:pPr>
    </w:p>
    <w:p>
      <w:pPr>
        <w:ind w:left="-40" w:firstLine="464"/>
        <w:spacing w:after="0" w:line="291" w:lineRule="auto"/>
        <w:tabs>
          <w:tab w:leader="none" w:pos="673"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will be in writing and, if sent to the Underwriters, will be mailed, delivered or telegraphed and confirmed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w:t>
      </w:r>
      <w:r>
        <w:rPr>
          <w:rFonts w:ascii="Arial" w:cs="Arial" w:eastAsia="Arial" w:hAnsi="Arial"/>
          <w:sz w:val="16"/>
          <w:szCs w:val="16"/>
          <w:i w:val="1"/>
          <w:iCs w:val="1"/>
          <w:color w:val="auto"/>
        </w:rPr>
        <w:t>,</w:t>
      </w:r>
      <w:r>
        <w:rPr>
          <w:rFonts w:ascii="Arial" w:cs="Arial" w:eastAsia="Arial" w:hAnsi="Arial"/>
          <w:sz w:val="16"/>
          <w:szCs w:val="16"/>
          <w:color w:val="auto"/>
        </w:rPr>
        <w:t xml:space="preserve"> to Credit Suisse Securities (USA) LLC, Eleven Madison Avenue, New York, N.Y. 10010-3629, U.S.A. to the attention of [·], and to Goldman Sachs (Asia) L.L.C., 68/F, Cheung Kong Center, 2 Queen’s Road Central, Hong Kong to the attention of [·], or, if sent to the Company, will be mailed, delivered or telegraphed and confirmed to it at New Oriental Education &amp; Technology Group, No. 6 Haidian Zhongjie, Haidian District, Beijing 100080, P.R.C. to the attention of Louis T. Hsieh, Chief Financial Officer;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notice to an Underwriter pursuant to Section 8 will be mailed, delivered or telegraphed and confirmed to such Underwriter.</w:t>
      </w:r>
    </w:p>
    <w:p>
      <w:pPr>
        <w:spacing w:after="0" w:line="120" w:lineRule="exact"/>
        <w:rPr>
          <w:rFonts w:ascii="Arial" w:cs="Arial" w:eastAsia="Arial" w:hAnsi="Arial"/>
          <w:sz w:val="16"/>
          <w:szCs w:val="16"/>
          <w:color w:val="auto"/>
        </w:rPr>
      </w:pPr>
    </w:p>
    <w:p>
      <w:pPr>
        <w:ind w:left="-40" w:right="420" w:firstLine="464"/>
        <w:spacing w:after="0" w:line="332" w:lineRule="auto"/>
        <w:tabs>
          <w:tab w:leader="none" w:pos="680"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controlling persons referred to in Section 8, and no other person will have any right or obligation hereunder.</w:t>
      </w:r>
    </w:p>
    <w:p>
      <w:pPr>
        <w:spacing w:after="0" w:line="85" w:lineRule="exact"/>
        <w:rPr>
          <w:rFonts w:ascii="Arial" w:cs="Arial" w:eastAsia="Arial" w:hAnsi="Arial"/>
          <w:sz w:val="16"/>
          <w:szCs w:val="16"/>
          <w:color w:val="auto"/>
        </w:rPr>
      </w:pPr>
    </w:p>
    <w:p>
      <w:pPr>
        <w:ind w:left="-40" w:right="120" w:firstLine="464"/>
        <w:spacing w:after="0" w:line="268" w:lineRule="auto"/>
        <w:tabs>
          <w:tab w:leader="none" w:pos="68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Representation of Underwriters</w:t>
      </w:r>
      <w:r>
        <w:rPr>
          <w:rFonts w:ascii="Arial" w:cs="Arial" w:eastAsia="Arial" w:hAnsi="Arial"/>
          <w:sz w:val="18"/>
          <w:szCs w:val="18"/>
          <w:color w:val="auto"/>
        </w:rPr>
        <w:t>. The Representatives will act for the several Underwriters in connection with this financing, and any action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taken by the Representatives will be binding upon all the Underwriters.</w:t>
      </w:r>
    </w:p>
    <w:p>
      <w:pPr>
        <w:spacing w:after="0" w:line="131" w:lineRule="exact"/>
        <w:rPr>
          <w:rFonts w:ascii="Arial" w:cs="Arial" w:eastAsia="Arial" w:hAnsi="Arial"/>
          <w:sz w:val="18"/>
          <w:szCs w:val="18"/>
          <w:color w:val="auto"/>
        </w:rPr>
      </w:pPr>
    </w:p>
    <w:p>
      <w:pPr>
        <w:ind w:left="-40" w:right="780" w:firstLine="464"/>
        <w:spacing w:after="0" w:line="268" w:lineRule="auto"/>
        <w:tabs>
          <w:tab w:leader="none" w:pos="68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together constitute one and the same Agreement.</w:t>
      </w:r>
    </w:p>
    <w:p>
      <w:pPr>
        <w:spacing w:after="0" w:line="131" w:lineRule="exact"/>
        <w:rPr>
          <w:rFonts w:ascii="Arial" w:cs="Arial" w:eastAsia="Arial" w:hAnsi="Arial"/>
          <w:sz w:val="18"/>
          <w:szCs w:val="18"/>
          <w:color w:val="auto"/>
        </w:rPr>
      </w:pPr>
    </w:p>
    <w:p>
      <w:pPr>
        <w:ind w:left="680" w:hanging="256"/>
        <w:spacing w:after="0"/>
        <w:tabs>
          <w:tab w:leader="none" w:pos="68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 xml:space="preserve">Absence of Fiduciary Relationship. </w:t>
      </w:r>
      <w:r>
        <w:rPr>
          <w:rFonts w:ascii="Arial" w:cs="Arial" w:eastAsia="Arial" w:hAnsi="Arial"/>
          <w:sz w:val="18"/>
          <w:szCs w:val="18"/>
          <w:color w:val="auto"/>
        </w:rPr>
        <w:t>The Company acknowledges and agrees that:</w:t>
      </w:r>
    </w:p>
    <w:p>
      <w:pPr>
        <w:spacing w:after="0" w:line="90" w:lineRule="exact"/>
        <w:rPr>
          <w:sz w:val="20"/>
          <w:szCs w:val="20"/>
          <w:color w:val="auto"/>
        </w:rPr>
      </w:pPr>
    </w:p>
    <w:p>
      <w:pPr>
        <w:ind w:left="-40" w:right="60" w:firstLine="464"/>
        <w:spacing w:after="0" w:line="335" w:lineRule="auto"/>
        <w:tabs>
          <w:tab w:leader="none" w:pos="655" w:val="left"/>
        </w:tabs>
        <w:numPr>
          <w:ilvl w:val="0"/>
          <w:numId w:val="179"/>
        </w:numPr>
        <w:rPr>
          <w:rFonts w:ascii="Arial" w:cs="Arial" w:eastAsia="Arial" w:hAnsi="Arial"/>
          <w:sz w:val="15"/>
          <w:szCs w:val="15"/>
          <w:color w:val="auto"/>
        </w:rPr>
      </w:pPr>
      <w:r>
        <w:rPr>
          <w:rFonts w:ascii="Arial" w:cs="Arial" w:eastAsia="Arial" w:hAnsi="Arial"/>
          <w:sz w:val="15"/>
          <w:szCs w:val="15"/>
          <w:i w:val="1"/>
          <w:iCs w:val="1"/>
          <w:color w:val="auto"/>
        </w:rPr>
        <w:t>No Other Relationship</w:t>
      </w:r>
      <w:r>
        <w:rPr>
          <w:rFonts w:ascii="Arial" w:cs="Arial" w:eastAsia="Arial" w:hAnsi="Arial"/>
          <w:sz w:val="15"/>
          <w:szCs w:val="15"/>
          <w:color w:val="auto"/>
        </w:rPr>
        <w:t>. The Representatives have been retained solely to act as underwriters in connection with the sale of Offered Securities and that</w:t>
      </w:r>
      <w:r>
        <w:rPr>
          <w:rFonts w:ascii="Arial" w:cs="Arial" w:eastAsia="Arial" w:hAnsi="Arial"/>
          <w:sz w:val="15"/>
          <w:szCs w:val="15"/>
          <w:i w:val="1"/>
          <w:iCs w:val="1"/>
          <w:color w:val="auto"/>
        </w:rPr>
        <w:t xml:space="preserve"> </w:t>
      </w:r>
      <w:r>
        <w:rPr>
          <w:rFonts w:ascii="Arial" w:cs="Arial" w:eastAsia="Arial" w:hAnsi="Arial"/>
          <w:sz w:val="15"/>
          <w:szCs w:val="15"/>
          <w:color w:val="auto"/>
        </w:rPr>
        <w:t>no fiduciary, advisory or agency relationship among the Company and the Representatives has been created in respect of any of the transactions contemplated by this Agreement or the Final Prospectus, irrespective of whether the Representatives have advised or is advising the Company on other matters;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80" w:top="280" w:right="279" w:bottom="1440" w:gutter="0" w:footer="0" w:header="0"/>
        </w:sectPr>
      </w:pPr>
    </w:p>
    <w:bookmarkStart w:id="229" w:name="page230"/>
    <w:bookmarkEnd w:id="229"/>
    <w:p>
      <w:pPr>
        <w:jc w:val="both"/>
        <w:ind w:right="100" w:firstLine="464"/>
        <w:spacing w:after="0" w:line="259" w:lineRule="auto"/>
        <w:tabs>
          <w:tab w:leader="none" w:pos="705"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Arms’ Length Negotiations</w:t>
      </w:r>
      <w:r>
        <w:rPr>
          <w:rFonts w:ascii="Arial" w:cs="Arial" w:eastAsia="Arial" w:hAnsi="Arial"/>
          <w:sz w:val="18"/>
          <w:szCs w:val="18"/>
          <w:color w:val="auto"/>
        </w:rPr>
        <w:t>. The price of the Offered Securities set forth in this Agreement was established by the Company following discussions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arms-length negotiations with the Representatives and the Company is capable of evaluating and understanding and understands and accepts the terms, risks and conditions of the transactions contemplated by this Agreement;</w:t>
      </w:r>
    </w:p>
    <w:p>
      <w:pPr>
        <w:spacing w:after="0" w:line="140" w:lineRule="exact"/>
        <w:rPr>
          <w:rFonts w:ascii="Arial" w:cs="Arial" w:eastAsia="Arial" w:hAnsi="Arial"/>
          <w:sz w:val="18"/>
          <w:szCs w:val="18"/>
          <w:color w:val="auto"/>
        </w:rPr>
      </w:pPr>
    </w:p>
    <w:p>
      <w:pPr>
        <w:ind w:right="340" w:firstLine="464"/>
        <w:spacing w:after="0" w:line="259" w:lineRule="auto"/>
        <w:tabs>
          <w:tab w:leader="none" w:pos="695"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Absence of Obligation to Disclose</w:t>
      </w:r>
      <w:r>
        <w:rPr>
          <w:rFonts w:ascii="Arial" w:cs="Arial" w:eastAsia="Arial" w:hAnsi="Arial"/>
          <w:sz w:val="18"/>
          <w:szCs w:val="18"/>
          <w:color w:val="auto"/>
        </w:rPr>
        <w:t>. The Company has been advised that the Representatives and their affiliates are engaged in a broad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140" w:lineRule="exact"/>
        <w:rPr>
          <w:rFonts w:ascii="Arial" w:cs="Arial" w:eastAsia="Arial" w:hAnsi="Arial"/>
          <w:sz w:val="18"/>
          <w:szCs w:val="18"/>
          <w:color w:val="auto"/>
        </w:rPr>
      </w:pPr>
    </w:p>
    <w:p>
      <w:pPr>
        <w:ind w:right="80" w:firstLine="464"/>
        <w:spacing w:after="0" w:line="306" w:lineRule="auto"/>
        <w:tabs>
          <w:tab w:leader="none" w:pos="705"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Waiver</w:t>
      </w:r>
      <w:r>
        <w:rPr>
          <w:rFonts w:ascii="Arial" w:cs="Arial" w:eastAsia="Arial" w:hAnsi="Arial"/>
          <w:sz w:val="16"/>
          <w:szCs w:val="16"/>
          <w:color w:val="auto"/>
        </w:rPr>
        <w:t>. The Company waives, to the fullest extent permitted by law, any claims it may have against the Representatives for breach of fiduciary duty or</w:t>
      </w:r>
      <w:r>
        <w:rPr>
          <w:rFonts w:ascii="Arial" w:cs="Arial" w:eastAsia="Arial" w:hAnsi="Arial"/>
          <w:sz w:val="16"/>
          <w:szCs w:val="16"/>
          <w:i w:val="1"/>
          <w:iCs w:val="1"/>
          <w:color w:val="auto"/>
        </w:rPr>
        <w:t xml:space="preserve"> </w:t>
      </w:r>
      <w:r>
        <w:rPr>
          <w:rFonts w:ascii="Arial" w:cs="Arial" w:eastAsia="Arial" w:hAnsi="Arial"/>
          <w:sz w:val="16"/>
          <w:szCs w:val="16"/>
          <w:color w:val="auto"/>
        </w:rPr>
        <w:t>alleged breach of fiduciary duty and agrees that the Representatives shall have no liability (whether direct or indirect) to the Company in respect of such a fiduciary duty claim or to any person asserting a fiduciary duty claim on behalf of or in right of the Company, including its stockholders, employees or creditors.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i w:val="1"/>
          <w:iCs w:val="1"/>
          <w:color w:val="auto"/>
        </w:rPr>
        <w:t>Applicable Law</w:t>
      </w:r>
      <w:r>
        <w:rPr>
          <w:rFonts w:ascii="Arial" w:cs="Arial" w:eastAsia="Arial" w:hAnsi="Arial"/>
          <w:sz w:val="18"/>
          <w:szCs w:val="18"/>
          <w:b w:val="1"/>
          <w:bCs w:val="1"/>
          <w:color w:val="auto"/>
        </w:rPr>
        <w:t>. This Agreement shall be governed by, and construed in accordance with, the laws of the State of New York.</w:t>
      </w:r>
    </w:p>
    <w:p>
      <w:pPr>
        <w:spacing w:after="0" w:line="1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 The Company irrevocably appoints CT Corporation System,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11,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seven years from the date of this Agreement.</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230" w:name="page231"/>
    <w:bookmarkEnd w:id="230"/>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obligation of the Company pursuant to this Agreement in respect of any sum due to any Underwriter shall, notwithstanding any judgment in a currency other than United States dollars, not be discharged until the first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118" w:lineRule="exact"/>
        <w:rPr>
          <w:sz w:val="20"/>
          <w:szCs w:val="20"/>
          <w:color w:val="auto"/>
        </w:rPr>
      </w:pPr>
    </w:p>
    <w:p>
      <w:pPr>
        <w:ind w:right="20" w:firstLine="464"/>
        <w:spacing w:after="0" w:line="253" w:lineRule="auto"/>
        <w:tabs>
          <w:tab w:leader="none" w:pos="72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Foreign Taxes. </w:t>
      </w:r>
      <w:r>
        <w:rPr>
          <w:rFonts w:ascii="Arial" w:cs="Arial" w:eastAsia="Arial" w:hAnsi="Arial"/>
          <w:sz w:val="18"/>
          <w:szCs w:val="18"/>
          <w:color w:val="auto"/>
        </w:rPr>
        <w:t>All payments made by the Company under this Agreement, if any, will be made without withholding or deduction for or on account of</w:t>
      </w:r>
      <w:r>
        <w:rPr>
          <w:rFonts w:ascii="Arial" w:cs="Arial" w:eastAsia="Arial" w:hAnsi="Arial"/>
          <w:sz w:val="18"/>
          <w:szCs w:val="18"/>
          <w:i w:val="1"/>
          <w:iCs w:val="1"/>
          <w:color w:val="auto"/>
        </w:rPr>
        <w:t xml:space="preserve"> </w:t>
      </w:r>
      <w:r>
        <w:rPr>
          <w:rFonts w:ascii="Arial" w:cs="Arial" w:eastAsia="Arial" w:hAnsi="Arial"/>
          <w:sz w:val="18"/>
          <w:szCs w:val="18"/>
          <w:color w:val="auto"/>
        </w:rPr>
        <w:t>any present or future taxes, duties, assessments or governmental charges of whatever nature imposed or levied by or on behalf of the Cayman Islands or any political subdivision or any taxing authority thereof or therein unless the Company is or becomes required by law to withhold or deduct such taxes, duties, assessments or other governmental charges. In such event, the Company will pay such additional amounts as will result, after such withholding or deduction, in the receipt by each Underwriter and each person controlling any Underwriter, as the case may be, of the amounts that would otherwise have been receivable in respect thereof, except to the extent such taxes, duties, assessments or other governmental charges are imposed or levied by reason of such Underwriter’s or controlling person’s being connected with the Cayman Islands other than by reason of its being an Underwriter or a person controlling any Underwriter under this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231" w:name="page232"/>
    <w:bookmarkEnd w:id="231"/>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the Representatives’ understanding of our agreement, kindly sign and return to the Company one of the counterparts hereof, whereupon it will become a binding agreement among the Company and the several Underwriters in accordance with its terms.</w:t>
      </w:r>
    </w:p>
    <w:p>
      <w:pPr>
        <w:spacing w:after="0" w:line="12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Very truly yours,</w:t>
      </w:r>
    </w:p>
    <w:p>
      <w:pPr>
        <w:spacing w:after="0" w:line="368"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NEW ORIENTAL EDUCATION &amp;</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TECHNOLOGY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332740</wp:posOffset>
            </wp:positionV>
            <wp:extent cx="252984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744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Michael Minhong Yu</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Chairman and Chief Executive Officer</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280" w:right="35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Underwriting Agreement is hereby</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confirmed and accepted as of the date first above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written.</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252984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(ASIA)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252984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Acting severally on behalf of themselves and as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Representatives of the several Underwriters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named in Schedule A hereto</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280" w:right="1440" w:bottom="1440" w:gutter="0" w:footer="0" w:header="0"/>
        </w:sectPr>
      </w:pPr>
    </w:p>
    <w:bookmarkStart w:id="233" w:name="page234"/>
    <w:bookmarkEnd w:id="233"/>
    <w:tbl>
      <w:tblPr>
        <w:tblLayout w:type="fixed"/>
        <w:tblInd w:w="8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80" w:type="dxa"/>
            <w:vAlign w:val="bottom"/>
            <w:gridSpan w:val="4"/>
          </w:tcPr>
          <w:p>
            <w:pPr>
              <w:jc w:val="right"/>
              <w:ind w:right="3012"/>
              <w:spacing w:after="0"/>
              <w:rPr>
                <w:sz w:val="20"/>
                <w:szCs w:val="20"/>
                <w:color w:val="auto"/>
              </w:rPr>
            </w:pPr>
            <w:r>
              <w:rPr>
                <w:rFonts w:ascii="Arial" w:cs="Arial" w:eastAsia="Arial" w:hAnsi="Arial"/>
                <w:sz w:val="18"/>
                <w:szCs w:val="18"/>
                <w:b w:val="1"/>
                <w:bCs w:val="1"/>
                <w:color w:val="auto"/>
              </w:rPr>
              <w:t>SCHEDULE A</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1"/>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Firm Securities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0" w:type="dxa"/>
            <w:vAlign w:val="bottom"/>
            <w:shd w:val="clear" w:color="auto" w:fill="000000"/>
          </w:tcPr>
          <w:p>
            <w:pPr>
              <w:spacing w:after="0"/>
              <w:rPr>
                <w:sz w:val="2"/>
                <w:szCs w:val="2"/>
                <w:color w:val="auto"/>
              </w:rPr>
            </w:pPr>
          </w:p>
        </w:tc>
        <w:tc>
          <w:tcPr>
            <w:tcW w:w="2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8"/>
              </w:rPr>
              <w:t>Credit Suisse Securities (USA) LLC</w:t>
            </w:r>
          </w:p>
        </w:tc>
        <w:tc>
          <w:tcPr>
            <w:tcW w:w="29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Goldman Sachs (Asia) L.L.C.</w:t>
            </w:r>
          </w:p>
        </w:tc>
        <w:tc>
          <w:tcPr>
            <w:tcW w:w="4480" w:type="dxa"/>
            <w:vAlign w:val="bottom"/>
            <w:gridSpan w:val="4"/>
          </w:tcPr>
          <w:p>
            <w:pPr>
              <w:jc w:val="right"/>
              <w:ind w:right="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4480" w:type="dxa"/>
            <w:vAlign w:val="bottom"/>
            <w:gridSpan w:val="4"/>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3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vMerge w:val="continue"/>
          </w:tcPr>
          <w:p>
            <w:pPr>
              <w:spacing w:after="0"/>
              <w:rPr>
                <w:sz w:val="19"/>
                <w:szCs w:val="19"/>
                <w:color w:val="auto"/>
              </w:rPr>
            </w:pPr>
          </w:p>
        </w:tc>
        <w:tc>
          <w:tcPr>
            <w:tcW w:w="4480" w:type="dxa"/>
            <w:vAlign w:val="bottom"/>
            <w:gridSpan w:val="4"/>
          </w:tcPr>
          <w:p>
            <w:pPr>
              <w:jc w:val="right"/>
              <w:ind w:right="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34" w:name="page235"/>
    <w:bookmarkEnd w:id="2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B</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LIST OF PERSONS SUBJECT TO LOCK-UP</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Michael Minhong Yu</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Louis T. Hsieh</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Chenggang Zhou</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Xiangdong Chen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Xiaohong Chen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Robin Yanhong Li</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Denny Lee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Tigerstep Developments Limited</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Tiger Global Private Investment Partners II, L.P.</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Peak Idea International Limited</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Capital River Group Limited</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Forthright Trading Limited</w:t>
      </w:r>
    </w:p>
    <w:p>
      <w:pPr>
        <w:sectPr>
          <w:pgSz w:w="11900" w:h="16838" w:orient="portrait"/>
          <w:cols w:equalWidth="0" w:num="1">
            <w:col w:w="9019"/>
          </w:cols>
          <w:pgMar w:left="1440" w:top="274" w:right="1440" w:bottom="1440" w:gutter="0" w:footer="0" w:header="0"/>
        </w:sectPr>
      </w:pPr>
    </w:p>
    <w:bookmarkStart w:id="235" w:name="page236"/>
    <w:bookmarkEnd w:id="235"/>
    <w:p>
      <w:pPr>
        <w:ind w:left="51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C</w:t>
      </w:r>
    </w:p>
    <w:p>
      <w:pPr>
        <w:spacing w:after="0" w:line="212" w:lineRule="exact"/>
        <w:rPr>
          <w:sz w:val="20"/>
          <w:szCs w:val="20"/>
          <w:color w:val="auto"/>
        </w:rPr>
      </w:pPr>
    </w:p>
    <w:p>
      <w:pPr>
        <w:ind w:left="452" w:right="3499" w:hanging="452"/>
        <w:spacing w:after="0" w:line="356" w:lineRule="auto"/>
        <w:tabs>
          <w:tab w:leader="none" w:pos="212"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Use Free Writing Prospectuses (included in the General Disclosure Package) </w:t>
      </w:r>
      <w:r>
        <w:rPr>
          <w:rFonts w:ascii="Arial" w:cs="Arial" w:eastAsia="Arial" w:hAnsi="Arial"/>
          <w:sz w:val="18"/>
          <w:szCs w:val="18"/>
          <w:color w:val="auto"/>
        </w:rPr>
        <w:t>“General Use Issuer Free Writing Prospectus” includes each of the following documents: [·]</w:t>
      </w:r>
    </w:p>
    <w:p>
      <w:pPr>
        <w:spacing w:after="0" w:line="91" w:lineRule="exact"/>
        <w:rPr>
          <w:rFonts w:ascii="Arial" w:cs="Arial" w:eastAsia="Arial" w:hAnsi="Arial"/>
          <w:sz w:val="18"/>
          <w:szCs w:val="18"/>
          <w:b w:val="1"/>
          <w:bCs w:val="1"/>
          <w:color w:val="auto"/>
        </w:rPr>
      </w:pPr>
    </w:p>
    <w:p>
      <w:pPr>
        <w:ind w:left="212" w:hanging="212"/>
        <w:spacing w:after="0"/>
        <w:tabs>
          <w:tab w:leader="none" w:pos="212"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 Included in the General Disclosure Package</w:t>
      </w:r>
    </w:p>
    <w:p>
      <w:pPr>
        <w:spacing w:after="0" w:line="9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information is also included in the General Disclosure Package:</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1"/>
          </w:cols>
          <w:pgMar w:left="248" w:top="274" w:right="1440" w:bottom="1440" w:gutter="0" w:footer="0" w:header="0"/>
        </w:sectPr>
      </w:pPr>
    </w:p>
    <w:bookmarkStart w:id="236" w:name="page237"/>
    <w:bookmarkEnd w:id="236"/>
    <w:p>
      <w:pPr>
        <w:ind w:left="3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D</w:t>
      </w:r>
    </w:p>
    <w:p>
      <w:pPr>
        <w:spacing w:after="0" w:line="90"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LIMITED USE ISSUER FREE WRITING PROSPECTUS 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REFERENCED IN SECTION 2(d) HEREIN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 The electronic roadshow recording relating to the Offered Securities posted on the website www.retailroadshow.com.</w:t>
      </w:r>
    </w:p>
    <w:p>
      <w:pPr>
        <w:sectPr>
          <w:pgSz w:w="11900" w:h="16838" w:orient="portrait"/>
          <w:cols w:equalWidth="0" w:num="1">
            <w:col w:w="9019"/>
          </w:cols>
          <w:pgMar w:left="1440" w:top="274" w:right="1440"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FORM OF COMFORT LETTER</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FORM OF OPINION OF LATHAM &amp; WATKINS]</w:t>
      </w:r>
    </w:p>
    <w:p>
      <w:pPr>
        <w:sectPr>
          <w:pgSz w:w="11900" w:h="16838" w:orient="portrait"/>
          <w:cols w:equalWidth="0" w:num="1">
            <w:col w:w="9019"/>
          </w:cols>
          <w:pgMar w:left="1440" w:top="274" w:right="1440"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[FORM OF OPINION OF CONYERS DILL &amp; PEARMAN]</w:t>
      </w:r>
    </w:p>
    <w:p>
      <w:pPr>
        <w:sectPr>
          <w:pgSz w:w="11900" w:h="16838" w:orient="portrait"/>
          <w:cols w:equalWidth="0" w:num="1">
            <w:col w:w="9019"/>
          </w:cols>
          <w:pgMar w:left="1440" w:top="274" w:right="1440"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[FORM OF OPINION OF TIAN YUAN LAW FIRM]</w:t>
      </w:r>
    </w:p>
    <w:p>
      <w:pPr>
        <w:sectPr>
          <w:pgSz w:w="11900" w:h="16838" w:orient="portrait"/>
          <w:cols w:equalWidth="0" w:num="1">
            <w:col w:w="9019"/>
          </w:cols>
          <w:pgMar w:left="1440" w:top="274" w:right="1440" w:bottom="1440" w:gutter="0" w:footer="0" w:header="0"/>
        </w:sectPr>
      </w:pPr>
    </w:p>
    <w:bookmarkStart w:id="241" w:name="page242"/>
    <w:bookmarkEnd w:id="24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[FORM OF OPINION OF WHITE &amp; CASE]</w:t>
      </w:r>
    </w:p>
    <w:p>
      <w:pPr>
        <w:sectPr>
          <w:pgSz w:w="11900" w:h="16838" w:orient="portrait"/>
          <w:cols w:equalWidth="0" w:num="1">
            <w:col w:w="9019"/>
          </w:cols>
          <w:pgMar w:left="1440" w:top="274" w:right="1440"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J</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10010-3629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(ASIA)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68/F, Cheung Kong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A to the Underwriting Agreement</w:t>
      </w:r>
    </w:p>
    <w:p>
      <w:pPr>
        <w:spacing w:after="0" w:line="165" w:lineRule="exact"/>
        <w:rPr>
          <w:sz w:val="20"/>
          <w:szCs w:val="20"/>
          <w:color w:val="auto"/>
        </w:rPr>
      </w:pPr>
    </w:p>
    <w:p>
      <w:pPr>
        <w:ind w:left="20" w:right="5120" w:hanging="4"/>
        <w:spacing w:after="0" w:line="388" w:lineRule="auto"/>
        <w:rPr>
          <w:sz w:val="20"/>
          <w:szCs w:val="20"/>
          <w:color w:val="auto"/>
        </w:rPr>
      </w:pPr>
      <w:r>
        <w:rPr>
          <w:rFonts w:ascii="Arial" w:cs="Arial" w:eastAsia="Arial" w:hAnsi="Arial"/>
          <w:sz w:val="18"/>
          <w:szCs w:val="18"/>
          <w:color w:val="auto"/>
        </w:rPr>
        <w:t>[L&amp;W: Please incorporate our earlier comments on the draft lock-up agreement. Thanks.] Dear Sirs:</w:t>
      </w:r>
    </w:p>
    <w:p>
      <w:pPr>
        <w:ind w:right="160" w:firstLine="456"/>
        <w:spacing w:after="0" w:line="296" w:lineRule="auto"/>
        <w:rPr>
          <w:sz w:val="20"/>
          <w:szCs w:val="20"/>
          <w:color w:val="auto"/>
        </w:rPr>
      </w:pPr>
      <w:r>
        <w:rPr>
          <w:rFonts w:ascii="Arial" w:cs="Arial" w:eastAsia="Arial" w:hAnsi="Arial"/>
          <w:sz w:val="16"/>
          <w:szCs w:val="16"/>
          <w:color w:val="auto"/>
        </w:rPr>
        <w:t>This Lock-Up Agreement is being delivered to you in connection with the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to be entered into among New Oriental Education &amp; Technology Group Inc. (the “</w:t>
      </w:r>
      <w:r>
        <w:rPr>
          <w:rFonts w:ascii="Arial" w:cs="Arial" w:eastAsia="Arial" w:hAnsi="Arial"/>
          <w:sz w:val="16"/>
          <w:szCs w:val="16"/>
          <w:b w:val="1"/>
          <w:bCs w:val="1"/>
          <w:color w:val="auto"/>
        </w:rPr>
        <w:t>Company</w:t>
      </w:r>
      <w:r>
        <w:rPr>
          <w:rFonts w:ascii="Arial" w:cs="Arial" w:eastAsia="Arial" w:hAnsi="Arial"/>
          <w:sz w:val="16"/>
          <w:szCs w:val="16"/>
          <w:color w:val="auto"/>
        </w:rPr>
        <w:t>”) and Credit Suisse Securities (USA) LLC and Goldman Sachs (Asia) L.L.C., as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of the several underwriters named in Schedule A thereto (the “</w:t>
      </w:r>
      <w:r>
        <w:rPr>
          <w:rFonts w:ascii="Arial" w:cs="Arial" w:eastAsia="Arial" w:hAnsi="Arial"/>
          <w:sz w:val="16"/>
          <w:szCs w:val="16"/>
          <w:b w:val="1"/>
          <w:bCs w:val="1"/>
          <w:color w:val="auto"/>
        </w:rPr>
        <w:t>Underwriters</w:t>
      </w:r>
      <w:r>
        <w:rPr>
          <w:rFonts w:ascii="Arial" w:cs="Arial" w:eastAsia="Arial" w:hAnsi="Arial"/>
          <w:sz w:val="16"/>
          <w:szCs w:val="16"/>
          <w:color w:val="auto"/>
        </w:rPr>
        <w:t>”), with respect to the public offering (the “</w:t>
      </w:r>
      <w:r>
        <w:rPr>
          <w:rFonts w:ascii="Arial" w:cs="Arial" w:eastAsia="Arial" w:hAnsi="Arial"/>
          <w:sz w:val="16"/>
          <w:szCs w:val="16"/>
          <w:b w:val="1"/>
          <w:bCs w:val="1"/>
          <w:color w:val="auto"/>
        </w:rPr>
        <w:t>Offering</w:t>
      </w:r>
      <w:r>
        <w:rPr>
          <w:rFonts w:ascii="Arial" w:cs="Arial" w:eastAsia="Arial" w:hAnsi="Arial"/>
          <w:sz w:val="16"/>
          <w:szCs w:val="16"/>
          <w:color w:val="auto"/>
        </w:rPr>
        <w:t>”) of American depositary shares (the “</w:t>
      </w:r>
      <w:r>
        <w:rPr>
          <w:rFonts w:ascii="Arial" w:cs="Arial" w:eastAsia="Arial" w:hAnsi="Arial"/>
          <w:sz w:val="16"/>
          <w:szCs w:val="16"/>
          <w:b w:val="1"/>
          <w:bCs w:val="1"/>
          <w:color w:val="auto"/>
        </w:rPr>
        <w:t>ADSs</w:t>
      </w:r>
      <w:r>
        <w:rPr>
          <w:rFonts w:ascii="Arial" w:cs="Arial" w:eastAsia="Arial" w:hAnsi="Arial"/>
          <w:sz w:val="16"/>
          <w:szCs w:val="16"/>
          <w:color w:val="auto"/>
        </w:rPr>
        <w:t>”), each representing [·] common share[s], par value US$0.01 per share, of the Company (the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and together with the ADSs representing the Common Shares, the “</w:t>
      </w:r>
      <w:r>
        <w:rPr>
          <w:rFonts w:ascii="Arial" w:cs="Arial" w:eastAsia="Arial" w:hAnsi="Arial"/>
          <w:sz w:val="16"/>
          <w:szCs w:val="16"/>
          <w:b w:val="1"/>
          <w:bCs w:val="1"/>
          <w:color w:val="auto"/>
        </w:rPr>
        <w:t>Securities</w:t>
      </w:r>
      <w:r>
        <w:rPr>
          <w:rFonts w:ascii="Arial" w:cs="Arial" w:eastAsia="Arial" w:hAnsi="Arial"/>
          <w:sz w:val="16"/>
          <w:szCs w:val="16"/>
          <w:color w:val="auto"/>
        </w:rPr>
        <w:t>”).</w:t>
      </w:r>
    </w:p>
    <w:p>
      <w:pPr>
        <w:spacing w:after="0" w:line="10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order to induce you to enter into the Underwriting Agreement, the undersigned agrees that during the Lock-Up Period specified below (the “</w:t>
      </w:r>
      <w:r>
        <w:rPr>
          <w:rFonts w:ascii="Arial" w:cs="Arial" w:eastAsia="Arial" w:hAnsi="Arial"/>
          <w:sz w:val="18"/>
          <w:szCs w:val="18"/>
          <w:b w:val="1"/>
          <w:b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it will not, directly or indirectly, take any of the following actions with respect to the Common Shares, ADSs or any securities convertible into or</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or exercisable for any of the Common Shares and ADSs (“</w:t>
      </w:r>
      <w:r>
        <w:rPr>
          <w:rFonts w:ascii="Arial" w:cs="Arial" w:eastAsia="Arial" w:hAnsi="Arial"/>
          <w:sz w:val="18"/>
          <w:szCs w:val="18"/>
          <w:b w:val="1"/>
          <w:bCs w:val="1"/>
          <w:color w:val="auto"/>
        </w:rPr>
        <w:t>Lock-Up Securities</w:t>
      </w:r>
      <w:r>
        <w:rPr>
          <w:rFonts w:ascii="Arial" w:cs="Arial" w:eastAsia="Arial" w:hAnsi="Arial"/>
          <w:sz w:val="18"/>
          <w:szCs w:val="18"/>
          <w:color w:val="auto"/>
        </w:rPr>
        <w:t>”): (i) offer, sell, contract to sell, pledge or otherwise dispose of Lock-Up Securities; (ii) offer, sell, contract to sell, contract to purchase or grant any option, right or warrant to purchase Lock-Up Securities; (iii) enter into any swap, hedge or any other agreement that transfers, in whole or in part, the economic consequences of ownership of Lock-Up Securities; or (iv) establish or increase a put equivalent position or liquidate or decrease a call equivalent position in Lock-Up Securities within the meaning of Section 16 of the U.S. Securities Exchange Act of 1934, as amended; or (v) publicly disclose the intention to take any such action in (i) to (iv) above, without the prior written consent of the Representatives.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initial Lock-Up Period will commence on the date of the Underwriting Agreement and continue for 180 days after the date of the Underwriting Agreement or such earlier date that the Representatives consent to in writing;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during the last 17 days of the initial Lock-Up Period, the Company releases earnings results or material news or a material event relating to the Company occurs; or (B) prior to the expiration of the initial Lock-Up Period, the Company announces that it will release earnings results during the 16-day period beginning on the last day of the initial Lock-Up Period, then in each case the Lock-Up Period will be extended until the expiration of the 18-day period beginning on the date of release of the earnings results or the occurrence of the materials news or material event, as applicable, unless the Representatives waive, in writing, such extension.</w:t>
      </w:r>
    </w:p>
    <w:p>
      <w:pPr>
        <w:sectPr>
          <w:pgSz w:w="11900" w:h="16838" w:orient="portrait"/>
          <w:cols w:equalWidth="0" w:num="1">
            <w:col w:w="11420"/>
          </w:cols>
          <w:pgMar w:left="240" w:top="274" w:right="239" w:bottom="1440" w:gutter="0" w:footer="0" w:header="0"/>
        </w:sectPr>
      </w:pPr>
    </w:p>
    <w:bookmarkStart w:id="243" w:name="page244"/>
    <w:bookmarkEnd w:id="243"/>
    <w:p>
      <w:pPr>
        <w:ind w:right="2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hereby acknowledges and agrees that written notice of any extension of the Lock-Up Period pursuant to the previous paragraph will be delivered by the Representatives to the Company (in accordance with Section 11 of the Underwriting Agreement) and that any such notice properly delivered will be deemed to have been given to, and received by, the undersigned. The undersigned further agrees that it will not consummate any transaction or take any other action that is subject to the terms of this Agreement during the period from the date of this Agreement to and including the 34th day following the expiration of the initial Lock-Up Period unless it has received written confirmation from the Company that the Lock-Up Period (as may have been extended pursuant to the previous paragraph) has expired.</w:t>
      </w:r>
    </w:p>
    <w:p>
      <w:pPr>
        <w:spacing w:after="0" w:line="14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the undersigned agrees that, without the prior written consent of the Representatives, it will not, during the period commencing on the date hereof and ending 180 days after the date of the Underwriting Agreement, make any demand for or exercise any right with respect to the registration of any Securities or any security convertible into or exercisable or exchangeable for the Securities.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Any Securities received upon exercise of options granted to the undersigned will also be subject to this Agreement. Any Securities acquired by the undersigned in the open market will not be subject to this Agreement. A transfer of Securities to a family member, or a trust or an entity beneficially owned entirely by the undersigned or a family member of the undersigned, may be made, provided that the transferee agrees to be bound in writing by the terms of this Agreement prior to such transfer and such transfer shall not involve a disposition for value.</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Securities if such transfer would constitute a violation or breach of this Agreement.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Offering. The undersigned further understands that this Agreement is irrevocable and shall be binding upon the undersigned’s heirs, legal representatives, successors, and assigns.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11400"/>
          </w:cols>
          <w:pgMar w:left="240" w:top="280" w:right="25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COMPANIES LAW (2004 REVISION)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LIMITED BY SHARES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MEMORANDUM OF ASSOCIATION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17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Adopted by Special Resolution</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passed on August 25, 2006 and</w:t>
      </w:r>
    </w:p>
    <w:p>
      <w:pPr>
        <w:spacing w:after="0" w:line="9" w:lineRule="exact"/>
        <w:rPr>
          <w:sz w:val="20"/>
          <w:szCs w:val="20"/>
          <w:color w:val="auto"/>
        </w:rPr>
      </w:pPr>
    </w:p>
    <w:p>
      <w:pPr>
        <w:ind w:right="180" w:firstLine="228"/>
        <w:spacing w:after="0" w:line="261" w:lineRule="auto"/>
        <w:rPr>
          <w:sz w:val="20"/>
          <w:szCs w:val="20"/>
          <w:color w:val="auto"/>
        </w:rPr>
      </w:pPr>
      <w:r>
        <w:rPr>
          <w:rFonts w:ascii="Arial" w:cs="Arial" w:eastAsia="Arial" w:hAnsi="Arial"/>
          <w:sz w:val="18"/>
          <w:szCs w:val="18"/>
          <w:color w:val="auto"/>
        </w:rPr>
        <w:t>effective immediately upon commencement of the trading of the Company’s American Depositary Shares representing its Common Shares on the New York Stock Exchange, Inc.</w:t>
      </w:r>
    </w:p>
    <w:p>
      <w:pPr>
        <w:spacing w:after="0" w:line="132" w:lineRule="exact"/>
        <w:rPr>
          <w:sz w:val="20"/>
          <w:szCs w:val="20"/>
          <w:color w:val="auto"/>
        </w:rPr>
      </w:pPr>
    </w:p>
    <w:p>
      <w:pPr>
        <w:ind w:left="180" w:hanging="172"/>
        <w:spacing w:after="0"/>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New Oriental Education &amp; Technology Group Inc</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right="120" w:firstLine="8"/>
        <w:spacing w:after="0" w:line="268" w:lineRule="auto"/>
        <w:tabs>
          <w:tab w:leader="none" w:pos="17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Codan Trust Company (Cayman) Limited, Cricket Square, Hutchins Drive, P.O. Box 2681GT, George Town, Grand Cayman, British West Indies, or at such other place as the Directors may from time to time decide.</w:t>
      </w:r>
    </w:p>
    <w:p>
      <w:pPr>
        <w:spacing w:after="0" w:line="131" w:lineRule="exact"/>
        <w:rPr>
          <w:rFonts w:ascii="Arial" w:cs="Arial" w:eastAsia="Arial" w:hAnsi="Arial"/>
          <w:sz w:val="18"/>
          <w:szCs w:val="18"/>
          <w:color w:val="auto"/>
        </w:rPr>
      </w:pPr>
    </w:p>
    <w:p>
      <w:pPr>
        <w:ind w:right="160" w:firstLine="8"/>
        <w:spacing w:after="0" w:line="332" w:lineRule="auto"/>
        <w:tabs>
          <w:tab w:leader="none" w:pos="17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objects for which the Company is established are unrestricted and the Company shall have full power and authority to carry out any object not prohibited by the Companies Law (2004 Revision) or as the same may be revised from time to time, or any other law of the Cayman Islands.</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from time to time unpaid on such Member’s shares.</w:t>
      </w:r>
    </w:p>
    <w:p>
      <w:pPr>
        <w:spacing w:after="0" w:line="171" w:lineRule="exact"/>
        <w:rPr>
          <w:rFonts w:ascii="Arial" w:cs="Arial" w:eastAsia="Arial" w:hAnsi="Arial"/>
          <w:sz w:val="18"/>
          <w:szCs w:val="18"/>
          <w:color w:val="auto"/>
        </w:rPr>
      </w:pPr>
    </w:p>
    <w:p>
      <w:pPr>
        <w:jc w:val="both"/>
        <w:ind w:right="20" w:firstLine="8"/>
        <w:spacing w:after="0" w:line="294" w:lineRule="auto"/>
        <w:tabs>
          <w:tab w:leader="none" w:pos="17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authorized share capital of the Company is US$3,000,000 divided into 300,000,000 shares, with a par value of US$0.01 each. The Company has the power to redeem or purchase any of its shares and to increase or reduce the said capital subject to the provisions of the Companies Law (2004 Revision)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15" w:lineRule="exact"/>
        <w:rPr>
          <w:rFonts w:ascii="Arial" w:cs="Arial" w:eastAsia="Arial" w:hAnsi="Arial"/>
          <w:sz w:val="16"/>
          <w:szCs w:val="16"/>
          <w:color w:val="auto"/>
        </w:rPr>
      </w:pPr>
    </w:p>
    <w:p>
      <w:pPr>
        <w:ind w:right="300" w:firstLine="8"/>
        <w:spacing w:after="0" w:line="268" w:lineRule="auto"/>
        <w:tabs>
          <w:tab w:leader="none" w:pos="17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has the power to register by way of continuation as a body corporate limited by shares under the laws of any jurisdiction outside the Cayman Islands and to be deregistered in the Cayman Islands.</w:t>
      </w:r>
    </w:p>
    <w:p>
      <w:pPr>
        <w:spacing w:after="0" w:line="131" w:lineRule="exact"/>
        <w:rPr>
          <w:rFonts w:ascii="Arial" w:cs="Arial" w:eastAsia="Arial" w:hAnsi="Arial"/>
          <w:sz w:val="18"/>
          <w:szCs w:val="18"/>
          <w:color w:val="auto"/>
        </w:rPr>
      </w:pPr>
    </w:p>
    <w:p>
      <w:pPr>
        <w:jc w:val="both"/>
        <w:ind w:right="180" w:firstLine="8"/>
        <w:spacing w:after="0" w:line="256" w:lineRule="auto"/>
        <w:tabs>
          <w:tab w:leader="none" w:pos="17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Capitalized terms that are not defined in this Amended and Restated Memorandum of Association bear the same meaning as those given in the Amended and Restated Articles of Association of the Company adopted by Special Resolution passed on August 25, 2006 and effective immediately upon commencement of the trading of the Company’s American Depositary Shares representing its Ordinary Shares on the New York Stock Exchange, Inc.. effective immediately upon commencement of the trading of the Company’s</w:t>
      </w:r>
    </w:p>
    <w:p>
      <w:pPr>
        <w:sectPr>
          <w:pgSz w:w="11900" w:h="16838" w:orient="portrait"/>
          <w:cols w:equalWidth="0" w:num="1">
            <w:col w:w="11420"/>
          </w:cols>
          <w:pgMar w:left="240" w:top="125" w:right="23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COMPANIES LAW (2004 REVISION)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CAYMAN ISLANDS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COMPANY LIMITED BY SHARES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ARTICLES OF ASSOCIATION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17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Adopted by Special Resolution</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passed on August 25, 2006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Depositary Shares representing its Common Shares on the New York Stock Exchange, Inc..</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INTERPRETATION</w:t>
      </w:r>
    </w:p>
    <w:p>
      <w:pPr>
        <w:spacing w:after="0" w:line="218" w:lineRule="exact"/>
        <w:rPr>
          <w:sz w:val="20"/>
          <w:szCs w:val="20"/>
          <w:color w:val="auto"/>
        </w:rPr>
      </w:pPr>
    </w:p>
    <w:p>
      <w:pPr>
        <w:ind w:left="580" w:hanging="572"/>
        <w:spacing w:after="0"/>
        <w:tabs>
          <w:tab w:leader="none" w:pos="5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these Articles, unless otherwise defined, the defined terms shall have the meanings assigned to them as follows:</w:t>
      </w:r>
    </w:p>
    <w:p>
      <w:pPr>
        <w:spacing w:after="0" w:line="84"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“Articles”</w:t>
      </w:r>
    </w:p>
    <w:p>
      <w:pPr>
        <w:spacing w:after="0" w:line="96" w:lineRule="exact"/>
        <w:rPr>
          <w:sz w:val="20"/>
          <w:szCs w:val="20"/>
          <w:color w:val="auto"/>
        </w:rPr>
      </w:pPr>
    </w:p>
    <w:p>
      <w:pPr>
        <w:ind w:left="1140" w:right="20"/>
        <w:spacing w:after="0" w:line="259" w:lineRule="auto"/>
        <w:rPr>
          <w:sz w:val="20"/>
          <w:szCs w:val="20"/>
          <w:color w:val="auto"/>
        </w:rPr>
      </w:pPr>
      <w:r>
        <w:rPr>
          <w:rFonts w:ascii="Arial" w:cs="Arial" w:eastAsia="Arial" w:hAnsi="Arial"/>
          <w:sz w:val="18"/>
          <w:szCs w:val="18"/>
          <w:color w:val="auto"/>
        </w:rPr>
        <w:t>the Amended and Restated Articles of Association adopted by Special Resolution on August 25, 2006 and effective immediately upon commencement of the trading of the Company’s American Depositary Shares representing its Common Shares on the New York Stock Exchange, Inc., as from time to time altered or added to in accordance with the Statutes and these Articles;</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“Board”</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board of Directors for the time being of the Company;</w:t>
      </w:r>
    </w:p>
    <w:p>
      <w:pPr>
        <w:spacing w:after="0" w:line="24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“Business Day”</w:t>
      </w:r>
    </w:p>
    <w:p>
      <w:pPr>
        <w:spacing w:after="0" w:line="96" w:lineRule="exact"/>
        <w:rPr>
          <w:sz w:val="20"/>
          <w:szCs w:val="20"/>
          <w:color w:val="auto"/>
        </w:rPr>
      </w:pPr>
    </w:p>
    <w:p>
      <w:pPr>
        <w:ind w:left="1140"/>
        <w:spacing w:after="0" w:line="268" w:lineRule="auto"/>
        <w:rPr>
          <w:sz w:val="20"/>
          <w:szCs w:val="20"/>
          <w:color w:val="auto"/>
        </w:rPr>
      </w:pPr>
      <w:r>
        <w:rPr>
          <w:rFonts w:ascii="Arial" w:cs="Arial" w:eastAsia="Arial" w:hAnsi="Arial"/>
          <w:sz w:val="18"/>
          <w:szCs w:val="18"/>
          <w:color w:val="auto"/>
        </w:rPr>
        <w:t>a day, excluding Saturdays or Sundays, on which banks in Hong Kong, Shanghai and New York are open for general banking business throughout their normal business hours;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“Commission”</w:t>
      </w:r>
    </w:p>
    <w:p>
      <w:pPr>
        <w:spacing w:after="0" w:line="96" w:lineRule="exact"/>
        <w:rPr>
          <w:sz w:val="20"/>
          <w:szCs w:val="20"/>
          <w:color w:val="auto"/>
        </w:rPr>
      </w:pPr>
    </w:p>
    <w:p>
      <w:pPr>
        <w:ind w:left="1140" w:right="80"/>
        <w:spacing w:after="0" w:line="268" w:lineRule="auto"/>
        <w:rPr>
          <w:sz w:val="20"/>
          <w:szCs w:val="20"/>
          <w:color w:val="auto"/>
        </w:rPr>
      </w:pPr>
      <w:r>
        <w:rPr>
          <w:rFonts w:ascii="Arial" w:cs="Arial" w:eastAsia="Arial" w:hAnsi="Arial"/>
          <w:sz w:val="18"/>
          <w:szCs w:val="18"/>
          <w:color w:val="auto"/>
        </w:rPr>
        <w:t>Securities and Exchange Commission of the United States of America or any other federal agency for the time being administering the Securities Act;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shares of par value of US$0.01 each in the capital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“Companies Law”</w:t>
      </w:r>
    </w:p>
    <w:p>
      <w:pPr>
        <w:spacing w:after="0" w:line="96" w:lineRule="exact"/>
        <w:rPr>
          <w:sz w:val="20"/>
          <w:szCs w:val="20"/>
          <w:color w:val="auto"/>
        </w:rPr>
      </w:pPr>
    </w:p>
    <w:p>
      <w:pPr>
        <w:ind w:left="560" w:right="120"/>
        <w:spacing w:after="0" w:line="332" w:lineRule="auto"/>
        <w:rPr>
          <w:sz w:val="20"/>
          <w:szCs w:val="20"/>
          <w:color w:val="auto"/>
        </w:rPr>
      </w:pPr>
      <w:r>
        <w:rPr>
          <w:rFonts w:ascii="Arial" w:cs="Arial" w:eastAsia="Arial" w:hAnsi="Arial"/>
          <w:sz w:val="16"/>
          <w:szCs w:val="16"/>
          <w:color w:val="auto"/>
        </w:rPr>
        <w:t>the Companies Law (2004 Revision) of the Cayman Islands and any statutory amendment or re-enactment thereof. Where any provision of the Companies Law is referred to, the reference is to that provision as amended by any law for the time being in force;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Oriental Education &amp; Technology Group Inc., a Cayman Islands company limited by shares;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Website”</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website of the Company, the address or domain name of which has been notified to Members;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Stock Exchange”</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York Stock Exchange, Inc.;</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and</w:t>
      </w:r>
      <w:r>
        <w:rPr>
          <w:rFonts w:ascii="Arial" w:cs="Arial" w:eastAsia="Arial" w:hAnsi="Arial"/>
          <w:sz w:val="18"/>
          <w:szCs w:val="18"/>
          <w:b w:val="1"/>
          <w:bCs w:val="1"/>
          <w:color w:val="auto"/>
        </w:rPr>
        <w:t xml:space="preserve"> “Board of Directors”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directors of the Company for the time being, or as the case may be, the Directors assembled as a Board or as a committee thereof;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w:t>
      </w:r>
    </w:p>
    <w:p>
      <w:pPr>
        <w:spacing w:after="0" w:line="21" w:lineRule="exact"/>
        <w:rPr>
          <w:sz w:val="20"/>
          <w:szCs w:val="20"/>
          <w:color w:val="auto"/>
        </w:rPr>
      </w:pPr>
    </w:p>
    <w:p>
      <w:pPr>
        <w:ind w:left="560"/>
        <w:spacing w:after="0" w:line="261" w:lineRule="auto"/>
        <w:rPr>
          <w:sz w:val="20"/>
          <w:szCs w:val="20"/>
          <w:color w:val="auto"/>
        </w:rPr>
      </w:pPr>
      <w:r>
        <w:rPr>
          <w:rFonts w:ascii="Arial" w:cs="Arial" w:eastAsia="Arial" w:hAnsi="Arial"/>
          <w:sz w:val="18"/>
          <w:szCs w:val="18"/>
          <w:color w:val="auto"/>
        </w:rPr>
        <w:t>the meaning given to it in the Electronic Transactions Law 2000 of the Cayman Islands and any amendment thereto or re-enactments thereof for the time being in force and includes every other law incorporated therewith or substituted therefore;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communication”</w:t>
      </w:r>
    </w:p>
    <w:p>
      <w:pPr>
        <w:spacing w:after="0" w:line="96" w:lineRule="exact"/>
        <w:rPr>
          <w:sz w:val="20"/>
          <w:szCs w:val="20"/>
          <w:color w:val="auto"/>
        </w:rPr>
      </w:pPr>
    </w:p>
    <w:p>
      <w:pPr>
        <w:ind w:left="560" w:right="220"/>
        <w:spacing w:after="0" w:line="268" w:lineRule="auto"/>
        <w:rPr>
          <w:sz w:val="20"/>
          <w:szCs w:val="20"/>
          <w:color w:val="auto"/>
        </w:rPr>
      </w:pPr>
      <w:r>
        <w:rPr>
          <w:rFonts w:ascii="Arial" w:cs="Arial" w:eastAsia="Arial" w:hAnsi="Arial"/>
          <w:sz w:val="18"/>
          <w:szCs w:val="18"/>
          <w:color w:val="auto"/>
        </w:rPr>
        <w:t>electronic posting to the Company’s Website, transmission to any number, address or internet website or other electronic delivery methods as otherwise decided and approved by not less than two-thirds of the vote of the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writing”</w:t>
      </w:r>
    </w:p>
    <w:p>
      <w:pPr>
        <w:spacing w:after="0" w:line="96" w:lineRule="exact"/>
        <w:rPr>
          <w:sz w:val="20"/>
          <w:szCs w:val="20"/>
          <w:color w:val="auto"/>
        </w:rPr>
      </w:pPr>
    </w:p>
    <w:p>
      <w:pPr>
        <w:ind w:left="560" w:right="220"/>
        <w:spacing w:after="0" w:line="259" w:lineRule="auto"/>
        <w:rPr>
          <w:sz w:val="20"/>
          <w:szCs w:val="20"/>
          <w:color w:val="auto"/>
        </w:rPr>
      </w:pPr>
      <w:r>
        <w:rPr>
          <w:rFonts w:ascii="Arial" w:cs="Arial" w:eastAsia="Arial" w:hAnsi="Arial"/>
          <w:sz w:val="18"/>
          <w:szCs w:val="18"/>
          <w:color w:val="auto"/>
        </w:rPr>
        <w:t>includes writing, printing, lithograph, photograph, type-writing and every other mode of representing words or figures in a legible and non-transitory form and, shall also include a record maintained in an electronic medium which is accessible in visible form so as to be useable for subsequent reference;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820" w:top="274" w:right="37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“Member”</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person whose name is entered in the Register of Members as the holder of a share or shares;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of Association”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Memorandum of Association of the Company, as amended and re-stated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calendar month;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office of the Company for the time being;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Resolution”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resolution:</w:t>
      </w:r>
    </w:p>
    <w:p>
      <w:pPr>
        <w:spacing w:after="0" w:line="90" w:lineRule="exact"/>
        <w:rPr>
          <w:sz w:val="20"/>
          <w:szCs w:val="20"/>
          <w:color w:val="auto"/>
        </w:rPr>
      </w:pPr>
    </w:p>
    <w:p>
      <w:pPr>
        <w:ind w:left="1240" w:right="280" w:hanging="678"/>
        <w:spacing w:after="0" w:line="259" w:lineRule="auto"/>
        <w:tabs>
          <w:tab w:leader="none" w:pos="12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passed by a simple majority of votes cast by such Members as, being entitled to do so, vote in person or, in the case of any Member being an organization, by its duly authorized representative or, where proxies are allowed, by proxy at a general meeting of the Company; or</w:t>
      </w:r>
    </w:p>
    <w:p>
      <w:pPr>
        <w:spacing w:after="0" w:line="59" w:lineRule="exact"/>
        <w:rPr>
          <w:rFonts w:ascii="Arial" w:cs="Arial" w:eastAsia="Arial" w:hAnsi="Arial"/>
          <w:sz w:val="18"/>
          <w:szCs w:val="18"/>
          <w:color w:val="auto"/>
        </w:rPr>
      </w:pPr>
    </w:p>
    <w:p>
      <w:pPr>
        <w:jc w:val="both"/>
        <w:ind w:left="1240" w:hanging="678"/>
        <w:spacing w:after="0" w:line="259" w:lineRule="auto"/>
        <w:tabs>
          <w:tab w:leader="none" w:pos="12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 up”</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paid up as to the par value and any premium payable in respect of the issue of any shares and includes credited as paid up;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 to be kept by the Company in accordance with Section 40 of the Companies Law;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Office”</w:t>
      </w:r>
    </w:p>
    <w:p>
      <w:pPr>
        <w:spacing w:after="0" w:line="96"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in respect of any class of share capital such place as the Board may from time to time determine to keep a branch register of Members in respect of that class of share capital and where (except in cases where the Board otherwise directs) the transfers or other documents of title for such class of share capital are to be lodged for registration and are to be registered;</w:t>
      </w:r>
    </w:p>
    <w:p>
      <w:pPr>
        <w:spacing w:after="0" w:line="12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0"/>
          </w:cols>
          <w:pgMar w:left="820" w:top="274" w:right="319" w:bottom="1440" w:gutter="0" w:footer="0" w:header="0"/>
        </w:sectPr>
      </w:pPr>
    </w:p>
    <w:bookmarkStart w:id="248" w:name="page249"/>
    <w:bookmarkEnd w:id="248"/>
    <w:p>
      <w:pPr>
        <w:ind w:left="5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“Seal”</w:t>
      </w:r>
    </w:p>
    <w:p>
      <w:pPr>
        <w:spacing w:after="0" w:line="9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the Common Seal of the Company including any facsimile thereof;</w:t>
      </w:r>
    </w:p>
    <w:p>
      <w:pPr>
        <w:spacing w:after="0" w:line="246" w:lineRule="exact"/>
        <w:rPr>
          <w:sz w:val="20"/>
          <w:szCs w:val="20"/>
          <w:color w:val="auto"/>
        </w:rPr>
      </w:pPr>
    </w:p>
    <w:p>
      <w:pPr>
        <w:ind w:left="572"/>
        <w:spacing w:after="0"/>
        <w:rPr>
          <w:sz w:val="20"/>
          <w:szCs w:val="20"/>
          <w:color w:val="auto"/>
        </w:rPr>
      </w:pPr>
      <w:r>
        <w:rPr>
          <w:rFonts w:ascii="Arial" w:cs="Arial" w:eastAsia="Arial" w:hAnsi="Arial"/>
          <w:sz w:val="18"/>
          <w:szCs w:val="18"/>
          <w:b w:val="1"/>
          <w:bCs w:val="1"/>
          <w:color w:val="auto"/>
        </w:rPr>
        <w:t>“Securities Act”</w:t>
      </w:r>
    </w:p>
    <w:p>
      <w:pPr>
        <w:spacing w:after="0" w:line="9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the Securities Act of 1933 of the United States of America, as amended;</w:t>
      </w:r>
    </w:p>
    <w:p>
      <w:pPr>
        <w:spacing w:after="0" w:line="246" w:lineRule="exact"/>
        <w:rPr>
          <w:sz w:val="20"/>
          <w:szCs w:val="20"/>
          <w:color w:val="auto"/>
        </w:rPr>
      </w:pPr>
    </w:p>
    <w:p>
      <w:pPr>
        <w:ind w:left="572"/>
        <w:spacing w:after="0"/>
        <w:rPr>
          <w:sz w:val="20"/>
          <w:szCs w:val="20"/>
          <w:color w:val="auto"/>
        </w:rPr>
      </w:pPr>
      <w:r>
        <w:rPr>
          <w:rFonts w:ascii="Arial" w:cs="Arial" w:eastAsia="Arial" w:hAnsi="Arial"/>
          <w:sz w:val="18"/>
          <w:szCs w:val="18"/>
          <w:b w:val="1"/>
          <w:bCs w:val="1"/>
          <w:color w:val="auto"/>
        </w:rPr>
        <w:t>“share”</w:t>
      </w:r>
    </w:p>
    <w:p>
      <w:pPr>
        <w:spacing w:after="0" w:line="9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any share in the capital of the Company, including the Common Shares and shares of other classes (if any);</w:t>
      </w:r>
    </w:p>
    <w:p>
      <w:pPr>
        <w:spacing w:after="0" w:line="246" w:lineRule="exact"/>
        <w:rPr>
          <w:sz w:val="20"/>
          <w:szCs w:val="20"/>
          <w:color w:val="auto"/>
        </w:rPr>
      </w:pPr>
    </w:p>
    <w:p>
      <w:pPr>
        <w:ind w:left="572"/>
        <w:spacing w:after="0"/>
        <w:rPr>
          <w:sz w:val="20"/>
          <w:szCs w:val="20"/>
          <w:color w:val="auto"/>
        </w:rPr>
      </w:pPr>
      <w:r>
        <w:rPr>
          <w:rFonts w:ascii="Arial" w:cs="Arial" w:eastAsia="Arial" w:hAnsi="Arial"/>
          <w:sz w:val="18"/>
          <w:szCs w:val="18"/>
          <w:b w:val="1"/>
          <w:bCs w:val="1"/>
          <w:color w:val="auto"/>
        </w:rPr>
        <w:t>“shareholders”</w:t>
      </w:r>
    </w:p>
    <w:p>
      <w:pPr>
        <w:spacing w:after="0" w:line="9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any or all of those persons at any time holding any shares;</w:t>
      </w:r>
    </w:p>
    <w:p>
      <w:pPr>
        <w:spacing w:after="0" w:line="246" w:lineRule="exact"/>
        <w:rPr>
          <w:sz w:val="20"/>
          <w:szCs w:val="20"/>
          <w:color w:val="auto"/>
        </w:rPr>
      </w:pPr>
    </w:p>
    <w:p>
      <w:pPr>
        <w:ind w:left="572"/>
        <w:spacing w:after="0"/>
        <w:rPr>
          <w:sz w:val="20"/>
          <w:szCs w:val="20"/>
          <w:color w:val="auto"/>
        </w:rPr>
      </w:pPr>
      <w:r>
        <w:rPr>
          <w:rFonts w:ascii="Arial" w:cs="Arial" w:eastAsia="Arial" w:hAnsi="Arial"/>
          <w:sz w:val="18"/>
          <w:szCs w:val="18"/>
          <w:b w:val="1"/>
          <w:bCs w:val="1"/>
          <w:color w:val="auto"/>
        </w:rPr>
        <w:t>“signed”</w:t>
      </w:r>
    </w:p>
    <w:p>
      <w:pPr>
        <w:spacing w:after="0" w:line="96" w:lineRule="exact"/>
        <w:rPr>
          <w:sz w:val="20"/>
          <w:szCs w:val="20"/>
          <w:color w:val="auto"/>
        </w:rPr>
      </w:pPr>
    </w:p>
    <w:p>
      <w:pPr>
        <w:ind w:left="1132" w:right="340"/>
        <w:spacing w:after="0" w:line="370" w:lineRule="auto"/>
        <w:rPr>
          <w:sz w:val="20"/>
          <w:szCs w:val="20"/>
          <w:color w:val="auto"/>
        </w:rPr>
      </w:pPr>
      <w:r>
        <w:rPr>
          <w:rFonts w:ascii="Arial" w:cs="Arial" w:eastAsia="Arial" w:hAnsi="Arial"/>
          <w:sz w:val="15"/>
          <w:szCs w:val="15"/>
          <w:color w:val="auto"/>
        </w:rPr>
        <w:t>includes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spacing w:after="0" w:line="137" w:lineRule="exact"/>
        <w:rPr>
          <w:sz w:val="20"/>
          <w:szCs w:val="20"/>
          <w:color w:val="auto"/>
        </w:rPr>
      </w:pPr>
    </w:p>
    <w:p>
      <w:pPr>
        <w:ind w:left="572"/>
        <w:spacing w:after="0"/>
        <w:rPr>
          <w:sz w:val="20"/>
          <w:szCs w:val="20"/>
          <w:color w:val="auto"/>
        </w:rPr>
      </w:pPr>
      <w:r>
        <w:rPr>
          <w:rFonts w:ascii="Arial" w:cs="Arial" w:eastAsia="Arial" w:hAnsi="Arial"/>
          <w:sz w:val="18"/>
          <w:szCs w:val="18"/>
          <w:b w:val="1"/>
          <w:bCs w:val="1"/>
          <w:color w:val="auto"/>
        </w:rPr>
        <w:t>“Special Resolution”</w:t>
      </w:r>
    </w:p>
    <w:p>
      <w:pPr>
        <w:spacing w:after="0" w:line="96" w:lineRule="exact"/>
        <w:rPr>
          <w:sz w:val="20"/>
          <w:szCs w:val="20"/>
          <w:color w:val="auto"/>
        </w:rPr>
      </w:pPr>
    </w:p>
    <w:p>
      <w:pPr>
        <w:ind w:left="1132"/>
        <w:spacing w:after="0" w:line="298" w:lineRule="auto"/>
        <w:rPr>
          <w:sz w:val="20"/>
          <w:szCs w:val="20"/>
          <w:color w:val="auto"/>
        </w:rPr>
      </w:pPr>
      <w:r>
        <w:rPr>
          <w:rFonts w:ascii="Arial" w:cs="Arial" w:eastAsia="Arial" w:hAnsi="Arial"/>
          <w:sz w:val="16"/>
          <w:szCs w:val="16"/>
          <w:color w:val="auto"/>
        </w:rPr>
        <w:t>a resolution shall be a special resolution when it has been passed by a majority of not less than two-thirds of votes cast by such Members as, being entitled so to do, vote in person or, in the case of such Members as are corporations, by their respective duly authorised representative or, where proxies are allowed, by proxy at a general meeting of which not less than seven (7) clear days’ notice, specifying (without prejudice to the power contained in these Articles to amend the same) the intention to propose the resolution as a special resolution, has been duly given;</w:t>
      </w:r>
    </w:p>
    <w:p>
      <w:pPr>
        <w:spacing w:after="0" w:line="188" w:lineRule="exact"/>
        <w:rPr>
          <w:sz w:val="20"/>
          <w:szCs w:val="20"/>
          <w:color w:val="auto"/>
        </w:rPr>
      </w:pPr>
    </w:p>
    <w:p>
      <w:pPr>
        <w:ind w:left="572"/>
        <w:spacing w:after="0"/>
        <w:rPr>
          <w:sz w:val="20"/>
          <w:szCs w:val="20"/>
          <w:color w:val="auto"/>
        </w:rPr>
      </w:pPr>
      <w:r>
        <w:rPr>
          <w:rFonts w:ascii="Arial" w:cs="Arial" w:eastAsia="Arial" w:hAnsi="Arial"/>
          <w:sz w:val="18"/>
          <w:szCs w:val="18"/>
          <w:b w:val="1"/>
          <w:bCs w:val="1"/>
          <w:color w:val="auto"/>
        </w:rPr>
        <w:t>“Statutes”</w:t>
      </w:r>
    </w:p>
    <w:p>
      <w:pPr>
        <w:spacing w:after="0" w:line="96" w:lineRule="exact"/>
        <w:rPr>
          <w:sz w:val="20"/>
          <w:szCs w:val="20"/>
          <w:color w:val="auto"/>
        </w:rPr>
      </w:pPr>
    </w:p>
    <w:p>
      <w:pPr>
        <w:ind w:left="1132" w:right="60"/>
        <w:spacing w:after="0" w:line="268" w:lineRule="auto"/>
        <w:rPr>
          <w:sz w:val="20"/>
          <w:szCs w:val="20"/>
          <w:color w:val="auto"/>
        </w:rPr>
      </w:pPr>
      <w:r>
        <w:rPr>
          <w:rFonts w:ascii="Arial" w:cs="Arial" w:eastAsia="Arial" w:hAnsi="Arial"/>
          <w:sz w:val="18"/>
          <w:szCs w:val="18"/>
          <w:color w:val="auto"/>
        </w:rPr>
        <w:t>the Companies Law and every other laws and regulations of the Cayman Islands for the time being in force concerning companies and affecting the Company;</w:t>
      </w:r>
    </w:p>
    <w:p>
      <w:pPr>
        <w:spacing w:after="0" w:line="207" w:lineRule="exact"/>
        <w:rPr>
          <w:sz w:val="20"/>
          <w:szCs w:val="20"/>
          <w:color w:val="auto"/>
        </w:rPr>
      </w:pPr>
    </w:p>
    <w:p>
      <w:pPr>
        <w:ind w:left="572"/>
        <w:spacing w:after="0"/>
        <w:rPr>
          <w:sz w:val="20"/>
          <w:szCs w:val="20"/>
          <w:color w:val="auto"/>
        </w:rPr>
      </w:pPr>
      <w:r>
        <w:rPr>
          <w:rFonts w:ascii="Arial" w:cs="Arial" w:eastAsia="Arial" w:hAnsi="Arial"/>
          <w:sz w:val="18"/>
          <w:szCs w:val="18"/>
          <w:b w:val="1"/>
          <w:bCs w:val="1"/>
          <w:color w:val="auto"/>
        </w:rPr>
        <w:t>“year”</w:t>
      </w:r>
    </w:p>
    <w:p>
      <w:pPr>
        <w:spacing w:after="0" w:line="9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calendar year.</w:t>
      </w:r>
    </w:p>
    <w:p>
      <w:pPr>
        <w:spacing w:after="0" w:line="90" w:lineRule="exact"/>
        <w:rPr>
          <w:sz w:val="20"/>
          <w:szCs w:val="20"/>
          <w:color w:val="auto"/>
        </w:rPr>
      </w:pPr>
    </w:p>
    <w:p>
      <w:pPr>
        <w:ind w:left="572" w:hanging="572"/>
        <w:spacing w:after="0"/>
        <w:tabs>
          <w:tab w:leader="none" w:pos="57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these Articles, save where the context requires otherwise:</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words importing the singular number shall include the plural number and vice versa;</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12"/>
          </w:cols>
          <w:pgMar w:left="248" w:top="274" w:right="339" w:bottom="1440" w:gutter="0" w:footer="0" w:header="0"/>
        </w:sectPr>
      </w:pPr>
    </w:p>
    <w:bookmarkStart w:id="249" w:name="page250"/>
    <w:bookmarkEnd w:id="249"/>
    <w:p>
      <w:pPr>
        <w:ind w:left="1132" w:hanging="565"/>
        <w:spacing w:after="0"/>
        <w:tabs>
          <w:tab w:leader="none" w:pos="11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words importing the masculine gender only shall include the feminine gender;</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words importing persons only shall include companies or associations or bodies of persons, whether corporate or not;</w:t>
      </w:r>
    </w:p>
    <w:p>
      <w:pPr>
        <w:spacing w:after="0" w:line="84" w:lineRule="exact"/>
        <w:rPr>
          <w:rFonts w:ascii="Arial" w:cs="Arial" w:eastAsia="Arial" w:hAnsi="Arial"/>
          <w:sz w:val="18"/>
          <w:szCs w:val="18"/>
          <w:color w:val="auto"/>
        </w:rPr>
      </w:pPr>
    </w:p>
    <w:p>
      <w:pPr>
        <w:ind w:left="1132" w:hanging="565"/>
        <w:spacing w:after="0"/>
        <w:tabs>
          <w:tab w:leader="none" w:pos="1132" w:val="left"/>
        </w:tabs>
        <w:numPr>
          <w:ilvl w:val="1"/>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“may” </w:t>
      </w:r>
      <w:r>
        <w:rPr>
          <w:rFonts w:ascii="Arial" w:cs="Arial" w:eastAsia="Arial" w:hAnsi="Arial"/>
          <w:sz w:val="18"/>
          <w:szCs w:val="18"/>
          <w:color w:val="auto"/>
        </w:rPr>
        <w:t>shall be construed as permissive and</w:t>
      </w:r>
      <w:r>
        <w:rPr>
          <w:rFonts w:ascii="Arial" w:cs="Arial" w:eastAsia="Arial" w:hAnsi="Arial"/>
          <w:sz w:val="18"/>
          <w:szCs w:val="18"/>
          <w:b w:val="1"/>
          <w:bCs w:val="1"/>
          <w:color w:val="auto"/>
        </w:rPr>
        <w:t xml:space="preserve"> “shall” </w:t>
      </w:r>
      <w:r>
        <w:rPr>
          <w:rFonts w:ascii="Arial" w:cs="Arial" w:eastAsia="Arial" w:hAnsi="Arial"/>
          <w:sz w:val="18"/>
          <w:szCs w:val="18"/>
          <w:color w:val="auto"/>
        </w:rPr>
        <w:t>shall be construed as imperative;</w:t>
      </w:r>
    </w:p>
    <w:p>
      <w:pPr>
        <w:spacing w:after="0" w:line="96" w:lineRule="exact"/>
        <w:rPr>
          <w:rFonts w:ascii="Arial" w:cs="Arial" w:eastAsia="Arial" w:hAnsi="Arial"/>
          <w:sz w:val="18"/>
          <w:szCs w:val="18"/>
          <w:color w:val="auto"/>
        </w:rPr>
      </w:pPr>
    </w:p>
    <w:p>
      <w:pPr>
        <w:ind w:left="1132" w:hanging="565"/>
        <w:spacing w:after="0"/>
        <w:tabs>
          <w:tab w:leader="none" w:pos="11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reference to a dollar or dollars (or $) is a reference to dollars of the United States;</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187"/>
        </w:numPr>
        <w:rPr>
          <w:rFonts w:ascii="Arial" w:cs="Arial" w:eastAsia="Arial" w:hAnsi="Arial"/>
          <w:sz w:val="16"/>
          <w:szCs w:val="16"/>
          <w:color w:val="auto"/>
        </w:rPr>
      </w:pPr>
      <w:r>
        <w:rPr>
          <w:rFonts w:ascii="Arial" w:cs="Arial" w:eastAsia="Arial" w:hAnsi="Arial"/>
          <w:sz w:val="16"/>
          <w:szCs w:val="16"/>
          <w:color w:val="auto"/>
        </w:rPr>
        <w:t>references to a statutory enactment shall include reference to any amendment or re-enactment thereof for the time being in force; and</w:t>
      </w:r>
    </w:p>
    <w:p>
      <w:pPr>
        <w:spacing w:after="0" w:line="113" w:lineRule="exact"/>
        <w:rPr>
          <w:rFonts w:ascii="Arial" w:cs="Arial" w:eastAsia="Arial" w:hAnsi="Arial"/>
          <w:sz w:val="16"/>
          <w:szCs w:val="16"/>
          <w:color w:val="auto"/>
        </w:rPr>
      </w:pPr>
    </w:p>
    <w:p>
      <w:pPr>
        <w:ind w:left="1132" w:right="20" w:hanging="565"/>
        <w:spacing w:after="0" w:line="268" w:lineRule="auto"/>
        <w:tabs>
          <w:tab w:leader="none" w:pos="11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50" w:lineRule="exact"/>
        <w:rPr>
          <w:rFonts w:ascii="Arial" w:cs="Arial" w:eastAsia="Arial" w:hAnsi="Arial"/>
          <w:sz w:val="18"/>
          <w:szCs w:val="18"/>
          <w:color w:val="auto"/>
        </w:rPr>
      </w:pPr>
    </w:p>
    <w:p>
      <w:pPr>
        <w:ind w:left="572" w:right="240" w:hanging="572"/>
        <w:spacing w:after="0" w:line="268" w:lineRule="auto"/>
        <w:tabs>
          <w:tab w:leader="none" w:pos="57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Subject to the last two preceding Articles, any words defined in the Companies Law shall, if not inconsistent with the subject or context, bear the same meaning in these Articles.</w:t>
      </w:r>
    </w:p>
    <w:p>
      <w:pPr>
        <w:spacing w:after="0" w:line="2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PRELIMINARY</w:t>
      </w:r>
    </w:p>
    <w:p>
      <w:pPr>
        <w:spacing w:after="0" w:line="218" w:lineRule="exact"/>
        <w:rPr>
          <w:sz w:val="20"/>
          <w:szCs w:val="20"/>
          <w:color w:val="auto"/>
        </w:rPr>
      </w:pPr>
    </w:p>
    <w:p>
      <w:pPr>
        <w:ind w:left="572" w:right="280" w:hanging="572"/>
        <w:spacing w:after="0" w:line="268" w:lineRule="auto"/>
        <w:tabs>
          <w:tab w:leader="none" w:pos="57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business of the Company may be commenced as soon after incorporation as the Directors see fit, notwithstanding that only part of the shares may have been allotted or issued.</w:t>
      </w:r>
    </w:p>
    <w:p>
      <w:pPr>
        <w:spacing w:after="0" w:line="50" w:lineRule="exact"/>
        <w:rPr>
          <w:rFonts w:ascii="Arial" w:cs="Arial" w:eastAsia="Arial" w:hAnsi="Arial"/>
          <w:sz w:val="18"/>
          <w:szCs w:val="18"/>
          <w:color w:val="auto"/>
        </w:rPr>
      </w:pPr>
    </w:p>
    <w:p>
      <w:pPr>
        <w:ind w:left="572" w:right="260" w:hanging="572"/>
        <w:spacing w:after="0" w:line="259" w:lineRule="auto"/>
        <w:tabs>
          <w:tab w:leader="none" w:pos="57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p>
      <w:pPr>
        <w:spacing w:after="0" w:line="29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SHARE CAPITAL</w:t>
      </w:r>
    </w:p>
    <w:p>
      <w:pPr>
        <w:spacing w:after="0" w:line="218" w:lineRule="exact"/>
        <w:rPr>
          <w:sz w:val="20"/>
          <w:szCs w:val="20"/>
          <w:color w:val="auto"/>
        </w:rPr>
      </w:pPr>
    </w:p>
    <w:p>
      <w:pPr>
        <w:ind w:left="572" w:hanging="572"/>
        <w:spacing w:after="0" w:line="254" w:lineRule="auto"/>
        <w:tabs>
          <w:tab w:leader="none" w:pos="57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authorized share capital of the Company at the date of adoption of these Articles is US$3,000,000 divided into 300,000,000 shares, with a par value of US$0.01 each with power for the Company insofar as is permitted by law, to redeem or purchase any of its shares and to increase or reduce the said capital subject to the provisions of the Companies Law and these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 OF SHARES</w:t>
      </w:r>
    </w:p>
    <w:p>
      <w:pPr>
        <w:spacing w:after="0" w:line="218" w:lineRule="exact"/>
        <w:rPr>
          <w:sz w:val="20"/>
          <w:szCs w:val="20"/>
          <w:color w:val="auto"/>
        </w:rPr>
      </w:pPr>
    </w:p>
    <w:p>
      <w:pPr>
        <w:ind w:left="580" w:right="100" w:hanging="572"/>
        <w:spacing w:after="0" w:line="298" w:lineRule="auto"/>
        <w:tabs>
          <w:tab w:leader="none" w:pos="5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Subject to the provisions, if any, in that behalf in the Memorandum of Association and to any direction that may be given by the Company in a general meeting, the Directors may allot, issue, grant options over or otherwise dispose of shares of the Company (including fractions of a share) with or without preferred, deferred or other special rights or restrictions, whether in regard to dividend, voting, return of capital or otherwise and to such persons, at such times and on such other terms as they think proper. The Company shall not issue shares in bearer form.</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 OF MEMBERS AND SHARE CERTIFICATES</w:t>
      </w:r>
    </w:p>
    <w:p>
      <w:pPr>
        <w:spacing w:after="0" w:line="218" w:lineRule="exact"/>
        <w:rPr>
          <w:sz w:val="20"/>
          <w:szCs w:val="20"/>
          <w:color w:val="auto"/>
        </w:rPr>
      </w:pPr>
    </w:p>
    <w:p>
      <w:pPr>
        <w:ind w:left="580" w:hanging="572"/>
        <w:spacing w:after="0" w:line="291" w:lineRule="auto"/>
        <w:tabs>
          <w:tab w:leader="none" w:pos="5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Company shall maintain a Register of its Members and every person whose name is entered as a member in the Register of Members shall, without payment, be entitled to a certificate within two months after allotment or lodgement of transfer (or within such other period as the conditions of issue shall provide) in the form determined by the Directors, if the Member requests a certificate.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39" w:lineRule="exact"/>
        <w:rPr>
          <w:rFonts w:ascii="Arial" w:cs="Arial" w:eastAsia="Arial" w:hAnsi="Arial"/>
          <w:sz w:val="16"/>
          <w:szCs w:val="16"/>
          <w:color w:val="auto"/>
        </w:rPr>
      </w:pPr>
    </w:p>
    <w:p>
      <w:pPr>
        <w:ind w:left="580" w:hanging="572"/>
        <w:spacing w:after="0"/>
        <w:tabs>
          <w:tab w:leader="none" w:pos="5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Every share certificate of the Company shall bear legends required under the applicable laws, including the Securities Act.</w:t>
      </w:r>
    </w:p>
    <w:p>
      <w:pPr>
        <w:spacing w:after="0" w:line="90" w:lineRule="exact"/>
        <w:rPr>
          <w:rFonts w:ascii="Arial" w:cs="Arial" w:eastAsia="Arial" w:hAnsi="Arial"/>
          <w:sz w:val="18"/>
          <w:szCs w:val="18"/>
          <w:color w:val="auto"/>
        </w:rPr>
      </w:pPr>
    </w:p>
    <w:p>
      <w:pPr>
        <w:ind w:left="580" w:right="280" w:hanging="572"/>
        <w:spacing w:after="0" w:line="357" w:lineRule="auto"/>
        <w:tabs>
          <w:tab w:leader="none" w:pos="58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Any two or more certificates representing shares of any one class held by any Member may at the Member’s request be cancelled and a single new certificate for such shares issued in lieu of payment (if the Directors shall so require) of US$1.00 or such smaller sum as the Directors shall determine.</w:t>
      </w:r>
    </w:p>
    <w:p>
      <w:pPr>
        <w:ind w:left="580" w:right="140" w:hanging="572"/>
        <w:spacing w:after="0" w:line="256" w:lineRule="auto"/>
        <w:tabs>
          <w:tab w:leader="none" w:pos="5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62" w:lineRule="exact"/>
        <w:rPr>
          <w:rFonts w:ascii="Arial" w:cs="Arial" w:eastAsia="Arial" w:hAnsi="Arial"/>
          <w:sz w:val="18"/>
          <w:szCs w:val="18"/>
          <w:color w:val="auto"/>
        </w:rPr>
      </w:pPr>
    </w:p>
    <w:p>
      <w:pPr>
        <w:ind w:left="580" w:right="40" w:hanging="572"/>
        <w:spacing w:after="0" w:line="268" w:lineRule="auto"/>
        <w:tabs>
          <w:tab w:leader="none" w:pos="5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event that shares are held jointly by several persons, any request may be made by any one of the joint holders and if so made shall be binding on all of the joint holders.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w:t>
      </w:r>
    </w:p>
    <w:p>
      <w:pPr>
        <w:spacing w:after="0" w:line="218" w:lineRule="exact"/>
        <w:rPr>
          <w:sz w:val="20"/>
          <w:szCs w:val="20"/>
          <w:color w:val="auto"/>
        </w:rPr>
      </w:pPr>
    </w:p>
    <w:p>
      <w:pPr>
        <w:ind w:left="1060" w:right="60" w:hanging="1052"/>
        <w:spacing w:after="0" w:line="256" w:lineRule="auto"/>
        <w:tabs>
          <w:tab w:leader="none" w:pos="5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(a)Subject to these Articles,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its nominee(s), by hand or by machine imprinted signature or by such other manner of execution as the Board may approve from time to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51" w:name="page252"/>
    <w:bookmarkEnd w:id="251"/>
    <w:p>
      <w:pPr>
        <w:ind w:left="580" w:right="100" w:hanging="571"/>
        <w:spacing w:after="0" w:line="291" w:lineRule="auto"/>
        <w:tabs>
          <w:tab w:leader="none" w:pos="5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instrument of transfer shall be executed by or on behalf of the transferor and the transferee provided that the Board may dispense with the execution of the instrument of transfer by the transferee in any case which it thinks fit in its discretion to do so. Without prejudice to the last preceding Article, the Board may also resolve, either generally or in any particular case, upon request by either the transferor or transferee, to accept mechanically executed transfers.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spacing w:after="0" w:line="66" w:lineRule="exact"/>
        <w:rPr>
          <w:rFonts w:ascii="Arial" w:cs="Arial" w:eastAsia="Arial" w:hAnsi="Arial"/>
          <w:sz w:val="16"/>
          <w:szCs w:val="16"/>
          <w:color w:val="auto"/>
        </w:rPr>
      </w:pPr>
    </w:p>
    <w:p>
      <w:pPr>
        <w:ind w:left="1260" w:hanging="1251"/>
        <w:spacing w:after="0" w:line="255" w:lineRule="auto"/>
        <w:tabs>
          <w:tab w:leader="none" w:pos="58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 and it may also, without prejudice to the foregoing generality, refuse to register a transfer of any share to more than four joint holders or a transfer of any share (not being a fully paid up share) on which the Company has a lien.</w:t>
      </w:r>
    </w:p>
    <w:p>
      <w:pPr>
        <w:spacing w:after="0" w:line="88" w:lineRule="exact"/>
        <w:rPr>
          <w:rFonts w:ascii="Arial" w:cs="Arial" w:eastAsia="Arial" w:hAnsi="Arial"/>
          <w:sz w:val="18"/>
          <w:szCs w:val="18"/>
          <w:color w:val="auto"/>
        </w:rPr>
      </w:pPr>
    </w:p>
    <w:p>
      <w:pPr>
        <w:ind w:left="1260" w:right="200" w:hanging="671"/>
        <w:spacing w:after="0" w:line="256" w:lineRule="auto"/>
        <w:tabs>
          <w:tab w:leader="none" w:pos="12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Board in so far as permitted by any applicable law may, in its absolute discretion, at any time and from time to time transfer any share upon the Register to any branch register or any share on any branch register to the Register or any other branch register. In the event of any such transfer, the shareholder requesting such transfer shall bear the cost of effecting the transfer unless the Board otherwise determines.</w:t>
      </w:r>
    </w:p>
    <w:p>
      <w:pPr>
        <w:spacing w:after="0" w:line="89" w:lineRule="exact"/>
        <w:rPr>
          <w:rFonts w:ascii="Arial" w:cs="Arial" w:eastAsia="Arial" w:hAnsi="Arial"/>
          <w:sz w:val="18"/>
          <w:szCs w:val="18"/>
          <w:color w:val="auto"/>
        </w:rPr>
      </w:pPr>
    </w:p>
    <w:p>
      <w:pPr>
        <w:ind w:left="1260" w:right="40" w:hanging="671"/>
        <w:spacing w:after="0" w:line="314" w:lineRule="auto"/>
        <w:tabs>
          <w:tab w:leader="none" w:pos="1260" w:val="left"/>
        </w:tabs>
        <w:numPr>
          <w:ilvl w:val="1"/>
          <w:numId w:val="194"/>
        </w:numPr>
        <w:rPr>
          <w:rFonts w:ascii="Arial" w:cs="Arial" w:eastAsia="Arial" w:hAnsi="Arial"/>
          <w:sz w:val="15"/>
          <w:szCs w:val="15"/>
          <w:color w:val="auto"/>
        </w:rPr>
      </w:pPr>
      <w:r>
        <w:rPr>
          <w:rFonts w:ascii="Arial" w:cs="Arial" w:eastAsia="Arial" w:hAnsi="Arial"/>
          <w:sz w:val="15"/>
          <w:szCs w:val="15"/>
          <w:color w:val="auto"/>
        </w:rPr>
        <w:t>Unless the Board otherwise agrees (which agreement may be on such terms and subject to such conditions as the Board in its absolute discretion may from time to time determine, and which agreement the Board shall, without giving any reason therefor, be entitled in its absolute discretion to give or withhold), no shares upon the Register shall be transferred to any branch register nor shall shares on any branch register be transferred to the Register or any other branch register and all transfers and other documents of title shall be lodged for registration, and registered, in the case of any shares on a branch register, at the relevant Registration Office, and, in the case of any shares on the Register, at the Office or such other place at which the Register is kept in accordance with the Companies Law.</w:t>
      </w:r>
    </w:p>
    <w:p>
      <w:pPr>
        <w:spacing w:after="0" w:line="9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80"/>
          </w:cols>
          <w:pgMar w:left="820" w:top="388" w:right="299" w:bottom="1440" w:gutter="0" w:footer="0" w:header="0"/>
        </w:sectPr>
      </w:pPr>
    </w:p>
    <w:bookmarkStart w:id="252" w:name="page253"/>
    <w:bookmarkEnd w:id="252"/>
    <w:p>
      <w:pPr>
        <w:ind w:left="1152" w:hanging="571"/>
        <w:spacing w:after="0"/>
        <w:tabs>
          <w:tab w:leader="none" w:pos="1152" w:val="left"/>
        </w:tabs>
        <w:numPr>
          <w:ilvl w:val="1"/>
          <w:numId w:val="1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limiting the generality of the last preceding Article, the Board may decline to recognise any instrument of transfer unless:-</w:t>
      </w:r>
    </w:p>
    <w:p>
      <w:pPr>
        <w:spacing w:after="0" w:line="140" w:lineRule="exact"/>
        <w:rPr>
          <w:rFonts w:ascii="Arial" w:cs="Arial" w:eastAsia="Arial" w:hAnsi="Arial"/>
          <w:sz w:val="16"/>
          <w:szCs w:val="16"/>
          <w:color w:val="auto"/>
        </w:rPr>
      </w:pPr>
    </w:p>
    <w:p>
      <w:pPr>
        <w:ind w:left="1832" w:right="20" w:hanging="671"/>
        <w:spacing w:after="0" w:line="268" w:lineRule="auto"/>
        <w:tabs>
          <w:tab w:leader="none" w:pos="1832" w:val="left"/>
        </w:tabs>
        <w:numPr>
          <w:ilvl w:val="2"/>
          <w:numId w:val="195"/>
        </w:numPr>
        <w:rPr>
          <w:rFonts w:ascii="Arial" w:cs="Arial" w:eastAsia="Arial" w:hAnsi="Arial"/>
          <w:sz w:val="18"/>
          <w:szCs w:val="18"/>
          <w:color w:val="auto"/>
        </w:rPr>
      </w:pPr>
      <w:r>
        <w:rPr>
          <w:rFonts w:ascii="Arial" w:cs="Arial" w:eastAsia="Arial" w:hAnsi="Arial"/>
          <w:sz w:val="18"/>
          <w:szCs w:val="18"/>
          <w:color w:val="auto"/>
        </w:rPr>
        <w:t>a fee of such maximum sum as the Designated Stock Exchange may determine to be payable or such lesser sum as the Board may from time to time require is paid to the Company in respect thereof;</w:t>
      </w:r>
    </w:p>
    <w:p>
      <w:pPr>
        <w:spacing w:after="0" w:line="77" w:lineRule="exact"/>
        <w:rPr>
          <w:rFonts w:ascii="Arial" w:cs="Arial" w:eastAsia="Arial" w:hAnsi="Arial"/>
          <w:sz w:val="18"/>
          <w:szCs w:val="18"/>
          <w:color w:val="auto"/>
        </w:rPr>
      </w:pPr>
    </w:p>
    <w:p>
      <w:pPr>
        <w:ind w:left="1832" w:hanging="671"/>
        <w:spacing w:after="0"/>
        <w:tabs>
          <w:tab w:leader="none" w:pos="1832"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w:t>
      </w:r>
    </w:p>
    <w:p>
      <w:pPr>
        <w:spacing w:after="0" w:line="117" w:lineRule="exact"/>
        <w:rPr>
          <w:rFonts w:ascii="Arial" w:cs="Arial" w:eastAsia="Arial" w:hAnsi="Arial"/>
          <w:sz w:val="18"/>
          <w:szCs w:val="18"/>
          <w:color w:val="auto"/>
        </w:rPr>
      </w:pPr>
    </w:p>
    <w:p>
      <w:pPr>
        <w:ind w:left="1832" w:right="140" w:hanging="671"/>
        <w:spacing w:after="0" w:line="298" w:lineRule="auto"/>
        <w:tabs>
          <w:tab w:leader="none" w:pos="1832" w:val="left"/>
        </w:tabs>
        <w:numPr>
          <w:ilvl w:val="2"/>
          <w:numId w:val="195"/>
        </w:numPr>
        <w:rPr>
          <w:rFonts w:ascii="Arial" w:cs="Arial" w:eastAsia="Arial" w:hAnsi="Arial"/>
          <w:sz w:val="16"/>
          <w:szCs w:val="16"/>
          <w:color w:val="auto"/>
        </w:rPr>
      </w:pPr>
      <w:r>
        <w:rPr>
          <w:rFonts w:ascii="Arial" w:cs="Arial" w:eastAsia="Arial" w:hAnsi="Arial"/>
          <w:sz w:val="16"/>
          <w:szCs w:val="16"/>
          <w:color w:val="auto"/>
        </w:rPr>
        <w:t>the instrument of transfer is lodged at the Office or such other place at which the Register is kept in accordance with the Companies Law or the Registration Office (as the case may be)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 and</w:t>
      </w:r>
    </w:p>
    <w:p>
      <w:pPr>
        <w:spacing w:after="0" w:line="58" w:lineRule="exact"/>
        <w:rPr>
          <w:rFonts w:ascii="Arial" w:cs="Arial" w:eastAsia="Arial" w:hAnsi="Arial"/>
          <w:sz w:val="16"/>
          <w:szCs w:val="16"/>
          <w:color w:val="auto"/>
        </w:rPr>
      </w:pPr>
    </w:p>
    <w:p>
      <w:pPr>
        <w:ind w:left="1832" w:hanging="671"/>
        <w:spacing w:after="0"/>
        <w:tabs>
          <w:tab w:leader="none" w:pos="1832"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the instrument of transfer is duly and properly signed.</w:t>
      </w:r>
    </w:p>
    <w:p>
      <w:pPr>
        <w:spacing w:after="0" w:line="117" w:lineRule="exact"/>
        <w:rPr>
          <w:rFonts w:ascii="Arial" w:cs="Arial" w:eastAsia="Arial" w:hAnsi="Arial"/>
          <w:sz w:val="18"/>
          <w:szCs w:val="18"/>
          <w:color w:val="auto"/>
        </w:rPr>
      </w:pPr>
    </w:p>
    <w:p>
      <w:pPr>
        <w:ind w:left="1152" w:right="560" w:hanging="571"/>
        <w:spacing w:after="0" w:line="268" w:lineRule="auto"/>
        <w:tabs>
          <w:tab w:leader="none" w:pos="115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If the Board refuses to register a transfer of any share, it shall, within two months after the date on which the transfer was lodged with the Company, send to each of the transferor and transferee notice of the refusal.</w:t>
      </w:r>
    </w:p>
    <w:p>
      <w:pPr>
        <w:spacing w:after="0" w:line="77" w:lineRule="exact"/>
        <w:rPr>
          <w:rFonts w:ascii="Arial" w:cs="Arial" w:eastAsia="Arial" w:hAnsi="Arial"/>
          <w:sz w:val="18"/>
          <w:szCs w:val="18"/>
          <w:color w:val="auto"/>
        </w:rPr>
      </w:pPr>
    </w:p>
    <w:p>
      <w:pPr>
        <w:jc w:val="both"/>
        <w:ind w:left="572" w:right="60" w:hanging="572"/>
        <w:spacing w:after="0" w:line="335" w:lineRule="auto"/>
        <w:tabs>
          <w:tab w:leader="none" w:pos="572"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registration of transfers of shares or of any class of shares may, after notice has been given by advertisement in an appointed newspaper or any other newspapers or by electronic means for fourteen (14) days, or by any other means in accordance with the requirements of the Designated Stock Exchange to that effect be suspended at such times and for such periods (not exceeding in the whole thirty (30) days in any year) as the Board may determine.</w:t>
      </w:r>
    </w:p>
    <w:p>
      <w:pPr>
        <w:spacing w:after="0" w:line="352"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REDEMPTION AND PURCHASE OF OWN SHARES</w:t>
      </w:r>
    </w:p>
    <w:p>
      <w:pPr>
        <w:spacing w:after="0" w:line="231" w:lineRule="exact"/>
        <w:rPr>
          <w:sz w:val="20"/>
          <w:szCs w:val="20"/>
          <w:color w:val="auto"/>
        </w:rPr>
      </w:pPr>
    </w:p>
    <w:p>
      <w:pPr>
        <w:ind w:left="572" w:hanging="572"/>
        <w:spacing w:after="0"/>
        <w:tabs>
          <w:tab w:leader="none" w:pos="57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Subject to the provisions of the Statutes and these Articles, the Company may:</w:t>
      </w:r>
    </w:p>
    <w:p>
      <w:pPr>
        <w:spacing w:after="0" w:line="117" w:lineRule="exact"/>
        <w:rPr>
          <w:rFonts w:ascii="Arial" w:cs="Arial" w:eastAsia="Arial" w:hAnsi="Arial"/>
          <w:sz w:val="18"/>
          <w:szCs w:val="18"/>
          <w:color w:val="auto"/>
        </w:rPr>
      </w:pPr>
    </w:p>
    <w:p>
      <w:pPr>
        <w:ind w:left="1152" w:right="20" w:hanging="571"/>
        <w:spacing w:after="0" w:line="268" w:lineRule="auto"/>
        <w:tabs>
          <w:tab w:leader="none" w:pos="115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issue shares on terms that they are to be redeemed or are liable to be redeemed at the option of the Company or the Member on such terms and in such manner as may by special resolution, before the issue of such shares, determine;</w:t>
      </w:r>
    </w:p>
    <w:p>
      <w:pPr>
        <w:spacing w:after="0" w:line="77" w:lineRule="exact"/>
        <w:rPr>
          <w:rFonts w:ascii="Arial" w:cs="Arial" w:eastAsia="Arial" w:hAnsi="Arial"/>
          <w:sz w:val="18"/>
          <w:szCs w:val="18"/>
          <w:color w:val="auto"/>
        </w:rPr>
      </w:pPr>
    </w:p>
    <w:p>
      <w:pPr>
        <w:ind w:left="1152" w:hanging="571"/>
        <w:spacing w:after="0"/>
        <w:tabs>
          <w:tab w:leader="none" w:pos="115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purchase its own shares (including any redeemable shares) on such terms and in such manner as the Directors may determine ; and</w:t>
      </w:r>
    </w:p>
    <w:p>
      <w:pPr>
        <w:spacing w:after="0" w:line="140" w:lineRule="exact"/>
        <w:rPr>
          <w:rFonts w:ascii="Arial" w:cs="Arial" w:eastAsia="Arial" w:hAnsi="Arial"/>
          <w:sz w:val="16"/>
          <w:szCs w:val="16"/>
          <w:color w:val="auto"/>
        </w:rPr>
      </w:pPr>
    </w:p>
    <w:p>
      <w:pPr>
        <w:ind w:left="5672" w:hanging="5091"/>
        <w:spacing w:after="0" w:line="440" w:lineRule="auto"/>
        <w:tabs>
          <w:tab w:leader="none" w:pos="117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make a payment in respect of the redemption or purchase of its own shares otherwise than out of profits or the proceeds of a fresh issue of shares. 9</w:t>
      </w:r>
    </w:p>
    <w:p>
      <w:pPr>
        <w:sectPr>
          <w:pgSz w:w="11900" w:h="16838" w:orient="portrait"/>
          <w:cols w:equalWidth="0" w:num="1">
            <w:col w:w="11372"/>
          </w:cols>
          <w:pgMar w:left="248" w:top="280" w:right="279" w:bottom="1440" w:gutter="0" w:footer="0" w:header="0"/>
        </w:sectPr>
      </w:pPr>
    </w:p>
    <w:bookmarkStart w:id="253" w:name="page254"/>
    <w:bookmarkEnd w:id="253"/>
    <w:p>
      <w:pPr>
        <w:ind w:left="572" w:right="460" w:hanging="572"/>
        <w:spacing w:after="0" w:line="268" w:lineRule="auto"/>
        <w:tabs>
          <w:tab w:leader="none" w:pos="572"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share in respect of which notice of redemption has been given shall not be entitled to participate in the profits of the Company in respect of the period after the date specified as the date of redemption in the notice of redemption.</w:t>
      </w:r>
    </w:p>
    <w:p>
      <w:pPr>
        <w:spacing w:after="0" w:line="50" w:lineRule="exact"/>
        <w:rPr>
          <w:rFonts w:ascii="Arial" w:cs="Arial" w:eastAsia="Arial" w:hAnsi="Arial"/>
          <w:sz w:val="18"/>
          <w:szCs w:val="18"/>
          <w:color w:val="auto"/>
        </w:rPr>
      </w:pPr>
    </w:p>
    <w:p>
      <w:pPr>
        <w:ind w:left="572" w:hanging="572"/>
        <w:spacing w:after="0"/>
        <w:tabs>
          <w:tab w:leader="none" w:pos="57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redemption or purchase of any share shall not be deemed to give rise to the redemption or purchase of any other share.</w:t>
      </w:r>
    </w:p>
    <w:p>
      <w:pPr>
        <w:spacing w:after="0" w:line="90" w:lineRule="exact"/>
        <w:rPr>
          <w:rFonts w:ascii="Arial" w:cs="Arial" w:eastAsia="Arial" w:hAnsi="Arial"/>
          <w:sz w:val="18"/>
          <w:szCs w:val="18"/>
          <w:color w:val="auto"/>
        </w:rPr>
      </w:pPr>
    </w:p>
    <w:p>
      <w:pPr>
        <w:ind w:left="572" w:right="660" w:hanging="572"/>
        <w:spacing w:after="0" w:line="332" w:lineRule="auto"/>
        <w:tabs>
          <w:tab w:leader="none" w:pos="57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Directors may when making payments in respect of redemption or purchase of shares, if authorized by the terms of issue of the shares being redeemed or purchased or with the agreement of the holder of such shares, make such payment in any form of consideration.</w:t>
      </w: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VARIATION OF RIGHTS ATTACHING TO SHARES</w:t>
      </w:r>
    </w:p>
    <w:p>
      <w:pPr>
        <w:spacing w:after="0" w:line="218" w:lineRule="exact"/>
        <w:rPr>
          <w:sz w:val="20"/>
          <w:szCs w:val="20"/>
          <w:color w:val="auto"/>
        </w:rPr>
      </w:pPr>
    </w:p>
    <w:p>
      <w:pPr>
        <w:ind w:left="572" w:right="80" w:hanging="572"/>
        <w:spacing w:after="0" w:line="306" w:lineRule="auto"/>
        <w:tabs>
          <w:tab w:leader="none" w:pos="57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at any time the share capital is divided into different classes of shares, the rights attaching to any class (unless otherwise provided by the terms of issue of the shares of that class) may, subject to these Articles, be varied or abrogated with the consent in writing of the holders of two-thirds of the issued shares of that class, or with the sanction of a special resolution passed at a general meeting of the holders of the shares of that class.</w:t>
      </w:r>
    </w:p>
    <w:p>
      <w:pPr>
        <w:spacing w:after="0" w:line="25" w:lineRule="exact"/>
        <w:rPr>
          <w:rFonts w:ascii="Arial" w:cs="Arial" w:eastAsia="Arial" w:hAnsi="Arial"/>
          <w:sz w:val="16"/>
          <w:szCs w:val="16"/>
          <w:color w:val="auto"/>
        </w:rPr>
      </w:pPr>
    </w:p>
    <w:p>
      <w:pPr>
        <w:ind w:left="572" w:hanging="572"/>
        <w:spacing w:after="0" w:line="259" w:lineRule="auto"/>
        <w:tabs>
          <w:tab w:leader="none" w:pos="57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provisions of these Articles relating to general meetings shall apply to every such general meeting of the holders of one class of shares except that the necessary quorum shall be one person holding or representing by proxy at least one-third of the issued shares of the class and that any holder of shares of the class present in person or by proxy may demand a poll.</w:t>
      </w:r>
    </w:p>
    <w:p>
      <w:pPr>
        <w:spacing w:after="0" w:line="59" w:lineRule="exact"/>
        <w:rPr>
          <w:rFonts w:ascii="Arial" w:cs="Arial" w:eastAsia="Arial" w:hAnsi="Arial"/>
          <w:sz w:val="18"/>
          <w:szCs w:val="18"/>
          <w:color w:val="auto"/>
        </w:rPr>
      </w:pPr>
    </w:p>
    <w:p>
      <w:pPr>
        <w:ind w:left="572" w:right="60" w:hanging="572"/>
        <w:spacing w:after="0" w:line="332" w:lineRule="auto"/>
        <w:tabs>
          <w:tab w:leader="none" w:pos="57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COMMISSION ON SALE OF SHARES</w:t>
      </w:r>
    </w:p>
    <w:p>
      <w:pPr>
        <w:spacing w:after="0" w:line="218" w:lineRule="exact"/>
        <w:rPr>
          <w:sz w:val="20"/>
          <w:szCs w:val="20"/>
          <w:color w:val="auto"/>
        </w:rPr>
      </w:pPr>
    </w:p>
    <w:p>
      <w:pPr>
        <w:ind w:left="572" w:right="20" w:hanging="572"/>
        <w:spacing w:after="0" w:line="256" w:lineRule="auto"/>
        <w:tabs>
          <w:tab w:leader="none" w:pos="57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may in so far as the Statutes from time to time permit pay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p>
      <w:pPr>
        <w:spacing w:after="0" w:line="29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NON-RECOGNITION OF TRUSTS</w:t>
      </w:r>
    </w:p>
    <w:p>
      <w:pPr>
        <w:spacing w:after="0" w:line="218" w:lineRule="exact"/>
        <w:rPr>
          <w:sz w:val="20"/>
          <w:szCs w:val="20"/>
          <w:color w:val="auto"/>
        </w:rPr>
      </w:pPr>
    </w:p>
    <w:p>
      <w:pPr>
        <w:ind w:left="572" w:right="100" w:hanging="572"/>
        <w:spacing w:after="0" w:line="256" w:lineRule="auto"/>
        <w:tabs>
          <w:tab w:leader="none" w:pos="5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Statutes) any other rights in respect of any share except an absolute right to the entirety thereof in the registered holder.</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80" w:right="25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LIEN ON SHARES</w:t>
      </w:r>
    </w:p>
    <w:p>
      <w:pPr>
        <w:spacing w:after="0" w:line="218" w:lineRule="exact"/>
        <w:rPr>
          <w:sz w:val="20"/>
          <w:szCs w:val="20"/>
          <w:color w:val="auto"/>
        </w:rPr>
      </w:pPr>
    </w:p>
    <w:p>
      <w:pPr>
        <w:ind w:left="580" w:right="80" w:hanging="572"/>
        <w:spacing w:after="0" w:line="294" w:lineRule="auto"/>
        <w:tabs>
          <w:tab w:leader="none" w:pos="5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p>
      <w:pPr>
        <w:spacing w:after="0" w:line="34" w:lineRule="exact"/>
        <w:rPr>
          <w:rFonts w:ascii="Arial" w:cs="Arial" w:eastAsia="Arial" w:hAnsi="Arial"/>
          <w:sz w:val="16"/>
          <w:szCs w:val="16"/>
          <w:color w:val="auto"/>
        </w:rPr>
      </w:pPr>
    </w:p>
    <w:p>
      <w:pPr>
        <w:jc w:val="both"/>
        <w:ind w:left="580" w:hanging="572"/>
        <w:spacing w:after="0" w:line="256" w:lineRule="auto"/>
        <w:tabs>
          <w:tab w:leader="none" w:pos="5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may sell, in such manner as the Directors think fit, any shares on which the Company has a lien, but no sale shall be made unless some sum in respect of which the lien exists is presently payable nor until the expiration of 14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62" w:lineRule="exact"/>
        <w:rPr>
          <w:rFonts w:ascii="Arial" w:cs="Arial" w:eastAsia="Arial" w:hAnsi="Arial"/>
          <w:sz w:val="18"/>
          <w:szCs w:val="18"/>
          <w:color w:val="auto"/>
        </w:rPr>
      </w:pPr>
    </w:p>
    <w:p>
      <w:pPr>
        <w:ind w:left="580" w:right="200" w:hanging="572"/>
        <w:spacing w:after="0" w:line="306" w:lineRule="auto"/>
        <w:tabs>
          <w:tab w:leader="none" w:pos="5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25" w:lineRule="exact"/>
        <w:rPr>
          <w:rFonts w:ascii="Arial" w:cs="Arial" w:eastAsia="Arial" w:hAnsi="Arial"/>
          <w:sz w:val="16"/>
          <w:szCs w:val="16"/>
          <w:color w:val="auto"/>
        </w:rPr>
      </w:pPr>
    </w:p>
    <w:p>
      <w:pPr>
        <w:ind w:left="580" w:right="300" w:hanging="572"/>
        <w:spacing w:after="0" w:line="259" w:lineRule="auto"/>
        <w:tabs>
          <w:tab w:leader="none" w:pos="5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proceeds of the sale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CALLS ON SHARES</w:t>
      </w:r>
    </w:p>
    <w:p>
      <w:pPr>
        <w:spacing w:after="0" w:line="218" w:lineRule="exact"/>
        <w:rPr>
          <w:sz w:val="20"/>
          <w:szCs w:val="20"/>
          <w:color w:val="auto"/>
        </w:rPr>
      </w:pPr>
    </w:p>
    <w:p>
      <w:pPr>
        <w:ind w:left="580" w:right="200" w:hanging="572"/>
        <w:spacing w:after="0" w:line="306" w:lineRule="auto"/>
        <w:tabs>
          <w:tab w:leader="none" w:pos="5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Directors may from time to time make calls upon the Members in respect of any money unpaid on their shares, and each member shall (subject to receiving at least 14 days notice specifying the time or times of payment) pay to the Company at the time or times so specified the amount called on his shares. A call shall be deemed to have been made at the time when the resolution of the Directors authorising such call was passed.</w:t>
      </w:r>
    </w:p>
    <w:p>
      <w:pPr>
        <w:spacing w:after="0" w:line="147" w:lineRule="exact"/>
        <w:rPr>
          <w:rFonts w:ascii="Arial" w:cs="Arial" w:eastAsia="Arial" w:hAnsi="Arial"/>
          <w:sz w:val="16"/>
          <w:szCs w:val="16"/>
          <w:color w:val="auto"/>
        </w:rPr>
      </w:pPr>
    </w:p>
    <w:p>
      <w:pPr>
        <w:ind w:left="580" w:hanging="572"/>
        <w:spacing w:after="0"/>
        <w:tabs>
          <w:tab w:leader="none" w:pos="5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calls in respect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55" w:name="page256"/>
    <w:bookmarkEnd w:id="255"/>
    <w:p>
      <w:pPr>
        <w:ind w:left="572" w:right="300" w:hanging="572"/>
        <w:spacing w:after="0" w:line="259" w:lineRule="auto"/>
        <w:tabs>
          <w:tab w:leader="none" w:pos="572"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59" w:lineRule="exact"/>
        <w:rPr>
          <w:rFonts w:ascii="Arial" w:cs="Arial" w:eastAsia="Arial" w:hAnsi="Arial"/>
          <w:sz w:val="18"/>
          <w:szCs w:val="18"/>
          <w:color w:val="auto"/>
        </w:rPr>
      </w:pPr>
    </w:p>
    <w:p>
      <w:pPr>
        <w:ind w:left="572" w:right="40" w:hanging="572"/>
        <w:spacing w:after="0" w:line="259" w:lineRule="auto"/>
        <w:tabs>
          <w:tab w:leader="none" w:pos="57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59" w:lineRule="exact"/>
        <w:rPr>
          <w:rFonts w:ascii="Arial" w:cs="Arial" w:eastAsia="Arial" w:hAnsi="Arial"/>
          <w:sz w:val="18"/>
          <w:szCs w:val="18"/>
          <w:color w:val="auto"/>
        </w:rPr>
      </w:pPr>
    </w:p>
    <w:p>
      <w:pPr>
        <w:ind w:left="572" w:right="100" w:hanging="572"/>
        <w:spacing w:after="0" w:line="268" w:lineRule="auto"/>
        <w:tabs>
          <w:tab w:leader="none" w:pos="57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Directors may make arrangements on the issue of shares for a difference between the Members, or the particular shares, in the amount of calls to be paid and in the times of payment.</w:t>
      </w:r>
    </w:p>
    <w:p>
      <w:pPr>
        <w:spacing w:after="0" w:line="50" w:lineRule="exact"/>
        <w:rPr>
          <w:rFonts w:ascii="Arial" w:cs="Arial" w:eastAsia="Arial" w:hAnsi="Arial"/>
          <w:sz w:val="18"/>
          <w:szCs w:val="18"/>
          <w:color w:val="auto"/>
        </w:rPr>
      </w:pPr>
    </w:p>
    <w:p>
      <w:pPr>
        <w:ind w:left="572" w:right="20" w:hanging="572"/>
        <w:spacing w:after="0" w:line="294" w:lineRule="auto"/>
        <w:tabs>
          <w:tab w:leader="none" w:pos="57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Member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272"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FORFEITURE OF SHARES</w:t>
      </w:r>
    </w:p>
    <w:p>
      <w:pPr>
        <w:spacing w:after="0" w:line="218" w:lineRule="exact"/>
        <w:rPr>
          <w:sz w:val="20"/>
          <w:szCs w:val="20"/>
          <w:color w:val="auto"/>
        </w:rPr>
      </w:pPr>
    </w:p>
    <w:p>
      <w:pPr>
        <w:jc w:val="both"/>
        <w:ind w:left="572" w:right="180" w:hanging="572"/>
        <w:spacing w:after="0" w:line="259" w:lineRule="auto"/>
        <w:tabs>
          <w:tab w:leader="none" w:pos="57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a Member fails to pay any call or instalment of a call on the day appointed for payment thereof, the Directors may, at any time thereafter during such time as any part of such call or instalment remains unpaid, serve a notice on him requiring payment of such much of the call or instalment as is unpaid, together with any interest which may have accrued.</w:t>
      </w:r>
    </w:p>
    <w:p>
      <w:pPr>
        <w:spacing w:after="0" w:line="59" w:lineRule="exact"/>
        <w:rPr>
          <w:rFonts w:ascii="Arial" w:cs="Arial" w:eastAsia="Arial" w:hAnsi="Arial"/>
          <w:sz w:val="18"/>
          <w:szCs w:val="18"/>
          <w:color w:val="auto"/>
        </w:rPr>
      </w:pPr>
    </w:p>
    <w:p>
      <w:pPr>
        <w:jc w:val="both"/>
        <w:ind w:left="572" w:hanging="572"/>
        <w:spacing w:after="0" w:line="259" w:lineRule="auto"/>
        <w:tabs>
          <w:tab w:leader="none" w:pos="57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14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59" w:lineRule="exact"/>
        <w:rPr>
          <w:rFonts w:ascii="Arial" w:cs="Arial" w:eastAsia="Arial" w:hAnsi="Arial"/>
          <w:sz w:val="18"/>
          <w:szCs w:val="18"/>
          <w:color w:val="auto"/>
        </w:rPr>
      </w:pPr>
    </w:p>
    <w:p>
      <w:pPr>
        <w:ind w:left="572" w:right="540" w:hanging="572"/>
        <w:spacing w:after="0" w:line="332" w:lineRule="auto"/>
        <w:tabs>
          <w:tab w:leader="none" w:pos="57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4" w:lineRule="exact"/>
        <w:rPr>
          <w:rFonts w:ascii="Arial" w:cs="Arial" w:eastAsia="Arial" w:hAnsi="Arial"/>
          <w:sz w:val="16"/>
          <w:szCs w:val="16"/>
          <w:color w:val="auto"/>
        </w:rPr>
      </w:pPr>
    </w:p>
    <w:p>
      <w:pPr>
        <w:ind w:left="572" w:right="460" w:hanging="572"/>
        <w:spacing w:after="0" w:line="268" w:lineRule="auto"/>
        <w:tabs>
          <w:tab w:leader="none" w:pos="57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52"/>
          </w:cols>
          <w:pgMar w:left="248" w:top="280" w:right="299" w:bottom="1440" w:gutter="0" w:footer="0" w:header="0"/>
        </w:sectPr>
      </w:pPr>
    </w:p>
    <w:bookmarkStart w:id="256" w:name="page257"/>
    <w:bookmarkEnd w:id="256"/>
    <w:p>
      <w:pPr>
        <w:ind w:left="572" w:hanging="572"/>
        <w:spacing w:after="0" w:line="259" w:lineRule="auto"/>
        <w:tabs>
          <w:tab w:leader="none" w:pos="572"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receives payment in full of the fully paid up amount of the shares.</w:t>
      </w:r>
    </w:p>
    <w:p>
      <w:pPr>
        <w:spacing w:after="0" w:line="59" w:lineRule="exact"/>
        <w:rPr>
          <w:rFonts w:ascii="Arial" w:cs="Arial" w:eastAsia="Arial" w:hAnsi="Arial"/>
          <w:sz w:val="18"/>
          <w:szCs w:val="18"/>
          <w:color w:val="auto"/>
        </w:rPr>
      </w:pPr>
    </w:p>
    <w:p>
      <w:pPr>
        <w:ind w:left="572" w:right="40" w:hanging="572"/>
        <w:spacing w:after="0" w:line="254" w:lineRule="auto"/>
        <w:tabs>
          <w:tab w:leader="none" w:pos="57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statutory declaration in writing that the declarant is a Director of the Company, and that a share in the Company has been duly forfeited on a date stated in the declaration, shall be conclusive evidence of the facts therein stated as against all persons claiming to be entitled to the share. The Company may receive the consideration, if any, given for the share or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63" w:lineRule="exact"/>
        <w:rPr>
          <w:rFonts w:ascii="Arial" w:cs="Arial" w:eastAsia="Arial" w:hAnsi="Arial"/>
          <w:sz w:val="18"/>
          <w:szCs w:val="18"/>
          <w:color w:val="auto"/>
        </w:rPr>
      </w:pPr>
    </w:p>
    <w:p>
      <w:pPr>
        <w:jc w:val="both"/>
        <w:ind w:left="572" w:right="300" w:hanging="572"/>
        <w:spacing w:after="0" w:line="259" w:lineRule="auto"/>
        <w:tabs>
          <w:tab w:leader="none" w:pos="57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29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REGISTRATION OF EMPOWERING INSTRUMENTS</w:t>
      </w:r>
    </w:p>
    <w:p>
      <w:pPr>
        <w:spacing w:after="0" w:line="218" w:lineRule="exact"/>
        <w:rPr>
          <w:sz w:val="20"/>
          <w:szCs w:val="20"/>
          <w:color w:val="auto"/>
        </w:rPr>
      </w:pPr>
    </w:p>
    <w:p>
      <w:pPr>
        <w:ind w:left="572" w:right="740" w:hanging="572"/>
        <w:spacing w:after="0" w:line="268" w:lineRule="auto"/>
        <w:tabs>
          <w:tab w:leader="none" w:pos="57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2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TRANSMISSION OF SHARES</w:t>
      </w:r>
    </w:p>
    <w:p>
      <w:pPr>
        <w:spacing w:after="0" w:line="218" w:lineRule="exact"/>
        <w:rPr>
          <w:sz w:val="20"/>
          <w:szCs w:val="20"/>
          <w:color w:val="auto"/>
        </w:rPr>
      </w:pPr>
    </w:p>
    <w:p>
      <w:pPr>
        <w:ind w:left="572" w:right="40" w:hanging="572"/>
        <w:spacing w:after="0" w:line="306" w:lineRule="auto"/>
        <w:tabs>
          <w:tab w:leader="none" w:pos="57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25" w:lineRule="exact"/>
        <w:rPr>
          <w:rFonts w:ascii="Arial" w:cs="Arial" w:eastAsia="Arial" w:hAnsi="Arial"/>
          <w:sz w:val="16"/>
          <w:szCs w:val="16"/>
          <w:color w:val="auto"/>
        </w:rPr>
      </w:pPr>
    </w:p>
    <w:p>
      <w:pPr>
        <w:ind w:left="572" w:right="80" w:hanging="572"/>
        <w:spacing w:after="0" w:line="298" w:lineRule="auto"/>
        <w:tabs>
          <w:tab w:leader="none" w:pos="57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person becoming entitled to a share in consequence of the death or bankruptcy of a Member shall upon such evidence being produced as may from time to time be properly required by the Directors, have the right either to be registered as a member in respect of the share or, instead of being registered himself, to make such transfer of the share as the deceased or bankrupt person could have made. If the person so becoming entitled shall elect to be registered himself as holder he shall deliver or send to the Company a notice in writing signed by him stating that he so elects.</w:t>
      </w:r>
    </w:p>
    <w:p>
      <w:pPr>
        <w:spacing w:after="0" w:line="31" w:lineRule="exact"/>
        <w:rPr>
          <w:rFonts w:ascii="Arial" w:cs="Arial" w:eastAsia="Arial" w:hAnsi="Arial"/>
          <w:sz w:val="16"/>
          <w:szCs w:val="16"/>
          <w:color w:val="auto"/>
        </w:rPr>
      </w:pPr>
    </w:p>
    <w:p>
      <w:pPr>
        <w:ind w:left="572" w:right="200" w:hanging="572"/>
        <w:spacing w:after="0" w:line="259" w:lineRule="auto"/>
        <w:tabs>
          <w:tab w:leader="none" w:pos="57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80" w:right="239" w:bottom="1440" w:gutter="0" w:footer="0" w:header="0"/>
        </w:sectPr>
      </w:pPr>
    </w:p>
    <w:bookmarkStart w:id="257" w:name="page258"/>
    <w:bookmarkEnd w:id="257"/>
    <w:p>
      <w:pPr>
        <w:jc w:val="both"/>
        <w:ind w:left="572"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relation to meetings of the Company, provided however, that the Directors may at any time give notice requiring any such person to elect either to be registered himself or to transfer the share, and if the notice is not complied with within ninety days, the Directors may thereafter withhold payment of all dividends, bonuses or other monies payable in respect of the share until the requirements of the notice have been complied with.</w:t>
      </w:r>
    </w:p>
    <w:p>
      <w:pPr>
        <w:spacing w:after="0" w:line="26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ALTERATION OF CAPITAL</w:t>
      </w:r>
    </w:p>
    <w:p>
      <w:pPr>
        <w:spacing w:after="0" w:line="218" w:lineRule="exact"/>
        <w:rPr>
          <w:sz w:val="20"/>
          <w:szCs w:val="20"/>
          <w:color w:val="auto"/>
        </w:rPr>
      </w:pPr>
    </w:p>
    <w:p>
      <w:pPr>
        <w:ind w:left="572" w:right="60" w:hanging="572"/>
        <w:spacing w:after="0" w:line="268" w:lineRule="auto"/>
        <w:tabs>
          <w:tab w:leader="none" w:pos="57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Subject to these Articles, the Company may from time to time by Ordinary Resolution increase the share capital by such sum, to be divided into shares of such classes and amount, as the resolution shall prescribe.</w:t>
      </w:r>
    </w:p>
    <w:p>
      <w:pPr>
        <w:spacing w:after="0" w:line="50" w:lineRule="exact"/>
        <w:rPr>
          <w:rFonts w:ascii="Arial" w:cs="Arial" w:eastAsia="Arial" w:hAnsi="Arial"/>
          <w:sz w:val="18"/>
          <w:szCs w:val="18"/>
          <w:color w:val="auto"/>
        </w:rPr>
      </w:pPr>
    </w:p>
    <w:p>
      <w:pPr>
        <w:ind w:left="572" w:hanging="572"/>
        <w:spacing w:after="0"/>
        <w:tabs>
          <w:tab w:leader="none" w:pos="57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Subject to these Articles, the Company may by Ordinary Resolution:</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90" w:lineRule="exact"/>
        <w:rPr>
          <w:rFonts w:ascii="Arial" w:cs="Arial" w:eastAsia="Arial" w:hAnsi="Arial"/>
          <w:sz w:val="18"/>
          <w:szCs w:val="18"/>
          <w:color w:val="auto"/>
        </w:rPr>
      </w:pPr>
    </w:p>
    <w:p>
      <w:pPr>
        <w:ind w:left="1132" w:right="40" w:hanging="565"/>
        <w:spacing w:after="0" w:line="357" w:lineRule="auto"/>
        <w:tabs>
          <w:tab w:leader="none" w:pos="1132" w:val="left"/>
        </w:tabs>
        <w:numPr>
          <w:ilvl w:val="1"/>
          <w:numId w:val="209"/>
        </w:numPr>
        <w:rPr>
          <w:rFonts w:ascii="Arial" w:cs="Arial" w:eastAsia="Arial" w:hAnsi="Arial"/>
          <w:sz w:val="15"/>
          <w:szCs w:val="15"/>
          <w:color w:val="auto"/>
        </w:rPr>
      </w:pPr>
      <w:r>
        <w:rPr>
          <w:rFonts w:ascii="Arial" w:cs="Arial" w:eastAsia="Arial" w:hAnsi="Arial"/>
          <w:sz w:val="15"/>
          <w:szCs w:val="15"/>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w:t>
      </w:r>
    </w:p>
    <w:p>
      <w:pPr>
        <w:ind w:left="1132" w:right="300" w:hanging="565"/>
        <w:spacing w:after="0" w:line="268" w:lineRule="auto"/>
        <w:tabs>
          <w:tab w:leader="none" w:pos="113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50" w:lineRule="exact"/>
        <w:rPr>
          <w:rFonts w:ascii="Arial" w:cs="Arial" w:eastAsia="Arial" w:hAnsi="Arial"/>
          <w:sz w:val="18"/>
          <w:szCs w:val="18"/>
          <w:color w:val="auto"/>
        </w:rPr>
      </w:pPr>
    </w:p>
    <w:p>
      <w:pPr>
        <w:ind w:left="572" w:hanging="572"/>
        <w:spacing w:after="0"/>
        <w:tabs>
          <w:tab w:leader="none" w:pos="57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may by Special Resolution reduce its share capital and any capital redemption reserve in any manner authorized by law.</w:t>
      </w:r>
    </w:p>
    <w:p>
      <w:pPr>
        <w:spacing w:after="0" w:line="90" w:lineRule="exact"/>
        <w:rPr>
          <w:rFonts w:ascii="Arial" w:cs="Arial" w:eastAsia="Arial" w:hAnsi="Arial"/>
          <w:sz w:val="18"/>
          <w:szCs w:val="18"/>
          <w:color w:val="auto"/>
        </w:rPr>
      </w:pPr>
    </w:p>
    <w:p>
      <w:pPr>
        <w:ind w:left="572" w:hanging="572"/>
        <w:spacing w:after="0" w:line="268" w:lineRule="auto"/>
        <w:tabs>
          <w:tab w:leader="none" w:pos="57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All new shares created hereunder shall be subject to the same provisions with reference to the payment of calls, liens, transfer, transmission, forfeiture and otherwise as the shares in the original share capital.</w:t>
      </w:r>
    </w:p>
    <w:p>
      <w:pPr>
        <w:spacing w:after="0" w:line="2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CLOSING REGISTER OF MEMBERS OR FIXING RECORD DATE</w:t>
      </w:r>
    </w:p>
    <w:p>
      <w:pPr>
        <w:spacing w:after="0" w:line="218" w:lineRule="exact"/>
        <w:rPr>
          <w:sz w:val="20"/>
          <w:szCs w:val="20"/>
          <w:color w:val="auto"/>
        </w:rPr>
      </w:pPr>
    </w:p>
    <w:p>
      <w:pPr>
        <w:ind w:left="572" w:right="20" w:hanging="572"/>
        <w:spacing w:after="0" w:line="291" w:lineRule="auto"/>
        <w:tabs>
          <w:tab w:leader="none" w:pos="57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of Members shall be closed for transfers for a stated period but not to exceed in any case 40 days. If the Register of Members shall be so closed for the purpose of determining those Members that are entitled to receive notice of, attend or vote at a meeting of Members such register shall be so closed for at least 10 days immediately preceding such meeting and the record date for such determination shall be the date of the closure of the Register of Members.</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12"/>
          </w:cols>
          <w:pgMar w:left="248" w:top="280" w:right="239" w:bottom="1440" w:gutter="0" w:footer="0" w:header="0"/>
        </w:sectPr>
      </w:pPr>
    </w:p>
    <w:bookmarkStart w:id="258" w:name="page259"/>
    <w:bookmarkEnd w:id="258"/>
    <w:p>
      <w:pPr>
        <w:ind w:left="572" w:right="80" w:hanging="572"/>
        <w:spacing w:after="0" w:line="256" w:lineRule="auto"/>
        <w:tabs>
          <w:tab w:leader="none" w:pos="5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lieu of or apart from closing the Register of Members, 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90 days prior to the date of declaration of such dividend fix a subsequent date as the record date of such determination.</w:t>
      </w:r>
    </w:p>
    <w:p>
      <w:pPr>
        <w:spacing w:after="0" w:line="62" w:lineRule="exact"/>
        <w:rPr>
          <w:rFonts w:ascii="Arial" w:cs="Arial" w:eastAsia="Arial" w:hAnsi="Arial"/>
          <w:sz w:val="18"/>
          <w:szCs w:val="18"/>
          <w:color w:val="auto"/>
        </w:rPr>
      </w:pPr>
    </w:p>
    <w:p>
      <w:pPr>
        <w:ind w:left="572" w:right="40" w:hanging="572"/>
        <w:spacing w:after="0" w:line="294" w:lineRule="auto"/>
        <w:tabs>
          <w:tab w:leader="none" w:pos="572"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If the Register of Members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section, such determination shall apply to any adjournment thereof.</w:t>
      </w:r>
    </w:p>
    <w:p>
      <w:pPr>
        <w:spacing w:after="0" w:line="27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GENERAL MEETINGS</w:t>
      </w:r>
    </w:p>
    <w:p>
      <w:pPr>
        <w:spacing w:after="0" w:line="218" w:lineRule="exact"/>
        <w:rPr>
          <w:sz w:val="20"/>
          <w:szCs w:val="20"/>
          <w:color w:val="auto"/>
        </w:rPr>
      </w:pPr>
    </w:p>
    <w:p>
      <w:pPr>
        <w:ind w:left="572" w:hanging="572"/>
        <w:spacing w:after="0"/>
        <w:tabs>
          <w:tab w:leader="none" w:pos="57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general meetings other than annual general meetings shall be called extraordinary general meetings.</w:t>
      </w:r>
    </w:p>
    <w:p>
      <w:pPr>
        <w:spacing w:after="0" w:line="90" w:lineRule="exact"/>
        <w:rPr>
          <w:rFonts w:ascii="Arial" w:cs="Arial" w:eastAsia="Arial" w:hAnsi="Arial"/>
          <w:sz w:val="18"/>
          <w:szCs w:val="18"/>
          <w:color w:val="auto"/>
        </w:rPr>
      </w:pPr>
    </w:p>
    <w:p>
      <w:pPr>
        <w:ind w:left="1132" w:right="120" w:hanging="1129"/>
        <w:spacing w:after="0" w:line="366" w:lineRule="auto"/>
        <w:tabs>
          <w:tab w:leader="none" w:pos="48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5"/>
          <w:szCs w:val="15"/>
          <w:color w:val="auto"/>
        </w:rPr>
        <w:t>The Company shall, if required by the Companies Law, in each year hold a general meeting as its annual general meeting and shall specify the meeting as such in the notices calling it. The annual general meeting shall be held at such time and place as may be determined by the Directors.</w:t>
      </w:r>
    </w:p>
    <w:p>
      <w:pPr>
        <w:ind w:left="1132" w:hanging="565"/>
        <w:spacing w:after="0"/>
        <w:tabs>
          <w:tab w:leader="none" w:pos="113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At these meetings the report of the Directors (if any) shall be presented.</w:t>
      </w:r>
    </w:p>
    <w:p>
      <w:pPr>
        <w:spacing w:after="0" w:line="90" w:lineRule="exact"/>
        <w:rPr>
          <w:rFonts w:ascii="Arial" w:cs="Arial" w:eastAsia="Arial" w:hAnsi="Arial"/>
          <w:sz w:val="18"/>
          <w:szCs w:val="18"/>
          <w:color w:val="auto"/>
        </w:rPr>
      </w:pPr>
    </w:p>
    <w:p>
      <w:pPr>
        <w:ind w:left="1132" w:right="260" w:hanging="565"/>
        <w:spacing w:after="0" w:line="268" w:lineRule="auto"/>
        <w:tabs>
          <w:tab w:leader="none" w:pos="113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Company may hold an annual general meeting but shall not (unless required by the Companies Law) be obliged to hold an annual general meeting.</w:t>
      </w:r>
    </w:p>
    <w:p>
      <w:pPr>
        <w:spacing w:after="0" w:line="50" w:lineRule="exact"/>
        <w:rPr>
          <w:rFonts w:ascii="Arial" w:cs="Arial" w:eastAsia="Arial" w:hAnsi="Arial"/>
          <w:sz w:val="18"/>
          <w:szCs w:val="18"/>
          <w:color w:val="auto"/>
        </w:rPr>
      </w:pPr>
    </w:p>
    <w:p>
      <w:pPr>
        <w:ind w:left="1132" w:right="20" w:hanging="1129"/>
        <w:spacing w:after="0" w:line="268" w:lineRule="auto"/>
        <w:tabs>
          <w:tab w:leader="none" w:pos="48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(a)The Directors may call general meetings, and they shall on a Members requisition forthwith proceed to convene an extraordinary general meeting of the Company.</w:t>
      </w:r>
    </w:p>
    <w:p>
      <w:pPr>
        <w:spacing w:after="0" w:line="64"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Members requisition is a requisition of Members of the Company holding at the date of deposit of the requisition not less than 33% of the share capital of the Company as at that date carries the right of voting at general meetings of the Company.</w:t>
      </w:r>
    </w:p>
    <w:p>
      <w:pPr>
        <w:spacing w:after="0" w:line="50" w:lineRule="exact"/>
        <w:rPr>
          <w:rFonts w:ascii="Arial" w:cs="Arial" w:eastAsia="Arial" w:hAnsi="Arial"/>
          <w:sz w:val="18"/>
          <w:szCs w:val="18"/>
          <w:color w:val="auto"/>
        </w:rPr>
      </w:pPr>
    </w:p>
    <w:p>
      <w:pPr>
        <w:ind w:left="1132" w:right="260" w:hanging="565"/>
        <w:spacing w:after="0" w:line="268" w:lineRule="auto"/>
        <w:tabs>
          <w:tab w:leader="none" w:pos="113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50" w:lineRule="exact"/>
        <w:rPr>
          <w:rFonts w:ascii="Arial" w:cs="Arial" w:eastAsia="Arial" w:hAnsi="Arial"/>
          <w:sz w:val="18"/>
          <w:szCs w:val="18"/>
          <w:color w:val="auto"/>
        </w:rPr>
      </w:pPr>
    </w:p>
    <w:p>
      <w:pPr>
        <w:ind w:left="1132" w:hanging="565"/>
        <w:spacing w:after="0" w:line="256" w:lineRule="auto"/>
        <w:tabs>
          <w:tab w:leader="none" w:pos="113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If the Directors do not within twenty one days from the date of the deposit of the requisition duly proceed to convene a general meeting to be held within a further twenty-one days, the requisitionists, or any of them representing more than one half of the total voting rights of all of them, may themselves convene a general meeting, but any meeting so convened shall not be held after the expiration of three months after the expiration of the second said twenty one days.</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80" w:right="259" w:bottom="1440" w:gutter="0" w:footer="0" w:header="0"/>
        </w:sectPr>
      </w:pPr>
    </w:p>
    <w:bookmarkStart w:id="259" w:name="page260"/>
    <w:bookmarkEnd w:id="259"/>
    <w:p>
      <w:pPr>
        <w:ind w:left="1140" w:right="220" w:hanging="565"/>
        <w:spacing w:after="0" w:line="268" w:lineRule="auto"/>
        <w:tabs>
          <w:tab w:leader="none" w:pos="11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general meeting convened as aforesaid by requisitionists shall be convened in the same manner as nearly as possible as that in which general meetings are to be convened by Directors.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18" w:lineRule="exact"/>
        <w:rPr>
          <w:sz w:val="20"/>
          <w:szCs w:val="20"/>
          <w:color w:val="auto"/>
        </w:rPr>
      </w:pPr>
    </w:p>
    <w:p>
      <w:pPr>
        <w:ind w:left="580" w:right="20" w:hanging="572"/>
        <w:spacing w:after="0" w:line="294" w:lineRule="auto"/>
        <w:tabs>
          <w:tab w:leader="none" w:pos="5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At least seven business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regulation has been given and whether or not the provisions of Articles regarding general meetings have been complied with, be deemed to have been duly convened if it is so agreed:</w:t>
      </w:r>
    </w:p>
    <w:p>
      <w:pPr>
        <w:spacing w:after="0" w:line="34" w:lineRule="exact"/>
        <w:rPr>
          <w:rFonts w:ascii="Arial" w:cs="Arial" w:eastAsia="Arial" w:hAnsi="Arial"/>
          <w:sz w:val="16"/>
          <w:szCs w:val="16"/>
          <w:color w:val="auto"/>
        </w:rPr>
      </w:pPr>
    </w:p>
    <w:p>
      <w:pPr>
        <w:ind w:left="1140" w:hanging="565"/>
        <w:spacing w:after="0"/>
        <w:tabs>
          <w:tab w:leader="none" w:pos="11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in the case of an annual general meeting by all the Members (or their proxies) entitled to attend and vote thereat; and</w:t>
      </w:r>
    </w:p>
    <w:p>
      <w:pPr>
        <w:spacing w:after="0" w:line="90" w:lineRule="exact"/>
        <w:rPr>
          <w:rFonts w:ascii="Arial" w:cs="Arial" w:eastAsia="Arial" w:hAnsi="Arial"/>
          <w:sz w:val="18"/>
          <w:szCs w:val="18"/>
          <w:color w:val="auto"/>
        </w:rPr>
      </w:pPr>
    </w:p>
    <w:p>
      <w:pPr>
        <w:ind w:left="1140" w:right="100" w:hanging="565"/>
        <w:spacing w:after="0" w:line="332" w:lineRule="auto"/>
        <w:tabs>
          <w:tab w:leader="none" w:pos="114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in the case of an extraordinary general meeting by a majority in number of the Members (or their proxies) having a right to attend and vote at the meeting, being a majority together holding not less than ninety five per cent in par value of the shares giving that right.</w:t>
      </w:r>
    </w:p>
    <w:p>
      <w:pPr>
        <w:spacing w:after="0" w:line="4" w:lineRule="exact"/>
        <w:rPr>
          <w:rFonts w:ascii="Arial" w:cs="Arial" w:eastAsia="Arial" w:hAnsi="Arial"/>
          <w:sz w:val="16"/>
          <w:szCs w:val="16"/>
          <w:color w:val="auto"/>
        </w:rPr>
      </w:pPr>
    </w:p>
    <w:p>
      <w:pPr>
        <w:ind w:left="580" w:right="180" w:hanging="572"/>
        <w:spacing w:after="0" w:line="268" w:lineRule="auto"/>
        <w:tabs>
          <w:tab w:leader="none" w:pos="5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a notice of a meeting by any Member shall not invalidate the proceedings at any meeting.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GENERAL MEETINGS</w:t>
      </w:r>
    </w:p>
    <w:p>
      <w:pPr>
        <w:spacing w:after="0" w:line="218" w:lineRule="exact"/>
        <w:rPr>
          <w:sz w:val="20"/>
          <w:szCs w:val="20"/>
          <w:color w:val="auto"/>
        </w:rPr>
      </w:pPr>
    </w:p>
    <w:p>
      <w:pPr>
        <w:ind w:left="580" w:right="20" w:hanging="572"/>
        <w:spacing w:after="0" w:line="255" w:lineRule="auto"/>
        <w:tabs>
          <w:tab w:leader="none" w:pos="5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of Members is present at the time when the meeting proceeds to business. At least two shareholders which hold an aggregate of at least one-third of the voting share capital, present in person or by proxy and entitled to vote shall be a quorum for all purposes.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61" w:lineRule="exact"/>
        <w:rPr>
          <w:rFonts w:ascii="Arial" w:cs="Arial" w:eastAsia="Arial" w:hAnsi="Arial"/>
          <w:sz w:val="18"/>
          <w:szCs w:val="18"/>
          <w:color w:val="auto"/>
        </w:rPr>
      </w:pPr>
    </w:p>
    <w:p>
      <w:pPr>
        <w:ind w:left="580" w:hanging="572"/>
        <w:spacing w:after="0" w:line="335" w:lineRule="auto"/>
        <w:tabs>
          <w:tab w:leader="none" w:pos="58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If within half an hour from the time appointed for the meeting a quorum is not present, the meeting, if convened upon the requisition of Members, shall be dissolved. In any other case it shall stand adjourned to the same day in the next week, at the same time and place, and if at the adjourned meeting a quorum is not present within half an hour from the time appointed for the meeting the Member or Members present and entitled to vote shall be a quorum.</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60" w:name="page261"/>
    <w:bookmarkEnd w:id="260"/>
    <w:p>
      <w:pPr>
        <w:ind w:left="572" w:hanging="572"/>
        <w:spacing w:after="0"/>
        <w:tabs>
          <w:tab w:leader="none" w:pos="572"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Chairman of the Board of Directors shall preside as chairman at every general meeting of the Company.</w:t>
      </w:r>
    </w:p>
    <w:p>
      <w:pPr>
        <w:spacing w:after="0" w:line="90" w:lineRule="exact"/>
        <w:rPr>
          <w:rFonts w:ascii="Arial" w:cs="Arial" w:eastAsia="Arial" w:hAnsi="Arial"/>
          <w:sz w:val="18"/>
          <w:szCs w:val="18"/>
          <w:color w:val="auto"/>
        </w:rPr>
      </w:pPr>
    </w:p>
    <w:p>
      <w:pPr>
        <w:ind w:left="572" w:right="480" w:hanging="572"/>
        <w:spacing w:after="0" w:line="268" w:lineRule="auto"/>
        <w:tabs>
          <w:tab w:leader="none" w:pos="57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at any meeting the Chairman of the Board of Directors is not present within fifteen minutes after the time appointed for holding the meeting or is unwilling to act as chairman, the Members present shall choose a chairman of the meeting.</w:t>
      </w:r>
    </w:p>
    <w:p>
      <w:pPr>
        <w:spacing w:after="0" w:line="50" w:lineRule="exact"/>
        <w:rPr>
          <w:rFonts w:ascii="Arial" w:cs="Arial" w:eastAsia="Arial" w:hAnsi="Arial"/>
          <w:sz w:val="18"/>
          <w:szCs w:val="18"/>
          <w:color w:val="auto"/>
        </w:rPr>
      </w:pPr>
    </w:p>
    <w:p>
      <w:pPr>
        <w:ind w:left="572" w:right="40" w:hanging="572"/>
        <w:spacing w:after="0" w:line="255" w:lineRule="auto"/>
        <w:tabs>
          <w:tab w:leader="none" w:pos="57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Chairman may with the consent of any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10 days or more, not less than seven business days’ notice of the adjourned meeting shall be given as in the case of an original meeting. Save as aforesaid it shall not be necessary to give any notice of an adjournment or of the business to be transacted at an adjourned meeting.</w:t>
      </w:r>
    </w:p>
    <w:p>
      <w:pPr>
        <w:spacing w:after="0" w:line="61" w:lineRule="exact"/>
        <w:rPr>
          <w:rFonts w:ascii="Arial" w:cs="Arial" w:eastAsia="Arial" w:hAnsi="Arial"/>
          <w:sz w:val="18"/>
          <w:szCs w:val="18"/>
          <w:color w:val="auto"/>
        </w:rPr>
      </w:pPr>
    </w:p>
    <w:p>
      <w:pPr>
        <w:ind w:left="572" w:hanging="572"/>
        <w:spacing w:after="0" w:line="254" w:lineRule="auto"/>
        <w:tabs>
          <w:tab w:leader="none" w:pos="57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At any general meeting a resolution put to the vote of the meeting shall be decided on a show of hands, unless a poll is (before or on the declaration of the result of the show of hands) demanded by the Chairman or any shareholder present in person or by proxy entitled to vote and who hold at least 10 per cent of the paid 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63" w:lineRule="exact"/>
        <w:rPr>
          <w:rFonts w:ascii="Arial" w:cs="Arial" w:eastAsia="Arial" w:hAnsi="Arial"/>
          <w:sz w:val="18"/>
          <w:szCs w:val="18"/>
          <w:color w:val="auto"/>
        </w:rPr>
      </w:pPr>
    </w:p>
    <w:p>
      <w:pPr>
        <w:ind w:left="572" w:right="200" w:hanging="572"/>
        <w:spacing w:after="0" w:line="268" w:lineRule="auto"/>
        <w:tabs>
          <w:tab w:leader="none" w:pos="57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directs, and the result of the poll shall be deemed to be the resolution of the meeting at which the poll was demanded. The demand for a poll may be withdrawn.</w:t>
      </w:r>
    </w:p>
    <w:p>
      <w:pPr>
        <w:spacing w:after="0" w:line="50" w:lineRule="exact"/>
        <w:rPr>
          <w:rFonts w:ascii="Arial" w:cs="Arial" w:eastAsia="Arial" w:hAnsi="Arial"/>
          <w:sz w:val="18"/>
          <w:szCs w:val="18"/>
          <w:color w:val="auto"/>
        </w:rPr>
      </w:pPr>
    </w:p>
    <w:p>
      <w:pPr>
        <w:ind w:left="572" w:right="360" w:hanging="572"/>
        <w:spacing w:after="0" w:line="268" w:lineRule="auto"/>
        <w:tabs>
          <w:tab w:leader="none" w:pos="57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case of an equality of votes, whether on a show of hands or on a poll, the chairman of the meeting at which the show of hands takes place or at which the poll is demanded, shall not be entitled to a second or casting vote.</w:t>
      </w:r>
    </w:p>
    <w:p>
      <w:pPr>
        <w:spacing w:after="0" w:line="50" w:lineRule="exact"/>
        <w:rPr>
          <w:rFonts w:ascii="Arial" w:cs="Arial" w:eastAsia="Arial" w:hAnsi="Arial"/>
          <w:sz w:val="18"/>
          <w:szCs w:val="18"/>
          <w:color w:val="auto"/>
        </w:rPr>
      </w:pPr>
    </w:p>
    <w:p>
      <w:pPr>
        <w:ind w:left="572" w:right="80" w:hanging="572"/>
        <w:spacing w:after="0" w:line="268" w:lineRule="auto"/>
        <w:tabs>
          <w:tab w:leader="none" w:pos="57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poll demanded on the election of a chairman or on a question of adjournment shall be taken forthwith. A poll demanded on any other question shall be taken at such time as the chairman of the meeting directs.</w:t>
      </w:r>
    </w:p>
    <w:p>
      <w:pPr>
        <w:spacing w:after="0" w:line="28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VOTES OF MEMBERS</w:t>
      </w:r>
    </w:p>
    <w:p>
      <w:pPr>
        <w:spacing w:after="0" w:line="218" w:lineRule="exact"/>
        <w:rPr>
          <w:sz w:val="20"/>
          <w:szCs w:val="20"/>
          <w:color w:val="auto"/>
        </w:rPr>
      </w:pPr>
    </w:p>
    <w:p>
      <w:pPr>
        <w:ind w:left="572" w:right="460" w:hanging="572"/>
        <w:spacing w:after="0" w:line="259" w:lineRule="auto"/>
        <w:tabs>
          <w:tab w:leader="none" w:pos="57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class or classes of shares, every Member present in person and every person representing a Member by proxy at a general meeting of the Company shall have one vote for each share registered in his name in the Register of Members.</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80" w:right="259" w:bottom="1440" w:gutter="0" w:footer="0" w:header="0"/>
        </w:sectPr>
      </w:pPr>
    </w:p>
    <w:bookmarkStart w:id="261" w:name="page262"/>
    <w:bookmarkEnd w:id="261"/>
    <w:p>
      <w:pPr>
        <w:ind w:left="580" w:right="220" w:hanging="572"/>
        <w:spacing w:after="0" w:line="332" w:lineRule="auto"/>
        <w:tabs>
          <w:tab w:leader="none" w:pos="5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joint holders the vote of the senior who tenders a vote whether in person or by proxy shall be accepted to the exclusion of the votes of the joint holders and for this purpose seniority shall be determined by the order in which the names stand in the Register of Members.</w:t>
      </w:r>
    </w:p>
    <w:p>
      <w:pPr>
        <w:spacing w:after="0" w:line="4" w:lineRule="exact"/>
        <w:rPr>
          <w:rFonts w:ascii="Arial" w:cs="Arial" w:eastAsia="Arial" w:hAnsi="Arial"/>
          <w:sz w:val="16"/>
          <w:szCs w:val="16"/>
          <w:color w:val="auto"/>
        </w:rPr>
      </w:pPr>
    </w:p>
    <w:p>
      <w:pPr>
        <w:jc w:val="both"/>
        <w:ind w:left="580" w:right="160" w:hanging="572"/>
        <w:spacing w:after="0" w:line="259" w:lineRule="auto"/>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Member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on a poll, vote by proxy.</w:t>
      </w:r>
    </w:p>
    <w:p>
      <w:pPr>
        <w:spacing w:after="0" w:line="59" w:lineRule="exact"/>
        <w:rPr>
          <w:rFonts w:ascii="Arial" w:cs="Arial" w:eastAsia="Arial" w:hAnsi="Arial"/>
          <w:sz w:val="18"/>
          <w:szCs w:val="18"/>
          <w:color w:val="auto"/>
        </w:rPr>
      </w:pPr>
    </w:p>
    <w:p>
      <w:pPr>
        <w:ind w:left="580" w:right="220" w:hanging="572"/>
        <w:spacing w:after="0" w:line="268" w:lineRule="auto"/>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 Member shall be entitled to vote at any general meeting unless all calls or other sums presently payable by him in respect of shares in the Company have been paid.</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90" w:lineRule="exact"/>
        <w:rPr>
          <w:rFonts w:ascii="Arial" w:cs="Arial" w:eastAsia="Arial" w:hAnsi="Arial"/>
          <w:sz w:val="18"/>
          <w:szCs w:val="18"/>
          <w:color w:val="auto"/>
        </w:rPr>
      </w:pPr>
    </w:p>
    <w:p>
      <w:pPr>
        <w:ind w:left="580" w:right="80" w:hanging="572"/>
        <w:spacing w:after="0" w:line="332" w:lineRule="auto"/>
        <w:tabs>
          <w:tab w:leader="none" w:pos="5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instrument appointing a proxy shall be in writing under the hand of the appointor or of his attorney duly authorized in writing or, if the appointor is a corporation, either under seal or under the hand of an officer or attorney duly authorized. A proxy need not be a Member of the Company.</w:t>
      </w:r>
    </w:p>
    <w:p>
      <w:pPr>
        <w:spacing w:after="0" w:line="4" w:lineRule="exact"/>
        <w:rPr>
          <w:rFonts w:ascii="Arial" w:cs="Arial" w:eastAsia="Arial" w:hAnsi="Arial"/>
          <w:sz w:val="16"/>
          <w:szCs w:val="16"/>
          <w:color w:val="auto"/>
        </w:rPr>
      </w:pPr>
    </w:p>
    <w:p>
      <w:pPr>
        <w:ind w:left="580" w:hanging="572"/>
        <w:spacing w:after="0"/>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 instrument appointing a proxy may be in any usual or common form or such other form as the Directors may approve.</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w:t>
      </w:r>
    </w:p>
    <w:p>
      <w:pPr>
        <w:spacing w:after="0" w:line="90" w:lineRule="exact"/>
        <w:rPr>
          <w:rFonts w:ascii="Arial" w:cs="Arial" w:eastAsia="Arial" w:hAnsi="Arial"/>
          <w:sz w:val="18"/>
          <w:szCs w:val="18"/>
          <w:color w:val="auto"/>
        </w:rPr>
      </w:pPr>
    </w:p>
    <w:p>
      <w:pPr>
        <w:ind w:left="580" w:right="140" w:hanging="572"/>
        <w:spacing w:after="0" w:line="259" w:lineRule="auto"/>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resolution in writing signed by all the Members for the time being entitled to receive notice of and to attend and vote at general meetings (or being corporations by their duly authorized representatives) shall be as valid and effective as if the same had been passed at a general meeting of the Company duly convened and held.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CORPORATIONS ACTING BY REPRESENTATIVES AT MEETING</w:t>
      </w:r>
    </w:p>
    <w:p>
      <w:pPr>
        <w:spacing w:after="0" w:line="218" w:lineRule="exact"/>
        <w:rPr>
          <w:sz w:val="20"/>
          <w:szCs w:val="20"/>
          <w:color w:val="auto"/>
        </w:rPr>
      </w:pPr>
    </w:p>
    <w:p>
      <w:pPr>
        <w:ind w:left="580" w:hanging="572"/>
        <w:spacing w:after="0" w:line="256" w:lineRule="auto"/>
        <w:tabs>
          <w:tab w:leader="none" w:pos="5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corporation which is a Member or a Director may by resolution of its directors or other governing body authorise such person as it thinks fit to act as its representative at any meeting of the Company or of any class of Members or of the Board of Directors or of a committee of Directors, and the person so authorized shall be entitled to exercise the same powers on behalf of the corporation which he represents as that corporation could exercise if it were an individual Member or Director.</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CLEARING HOUSES</w:t>
      </w:r>
    </w:p>
    <w:p>
      <w:pPr>
        <w:spacing w:after="0" w:line="218" w:lineRule="exact"/>
        <w:rPr>
          <w:sz w:val="20"/>
          <w:szCs w:val="20"/>
          <w:color w:val="auto"/>
        </w:rPr>
      </w:pPr>
    </w:p>
    <w:p>
      <w:pPr>
        <w:ind w:left="580" w:right="160" w:hanging="572"/>
        <w:spacing w:after="0" w:line="291" w:lineRule="auto"/>
        <w:tabs>
          <w:tab w:leader="none" w:pos="5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If a clearing house (or its nominee) is a member of the Company it may, by resolution of its directors or other governing body or by power of attorney, authorise such person or persons as it thinks fit to act as its representative or representatives at any general meeting of the Company or at any general meeting of any class of members of the Company provided that, if more than one person is so authorized, the authorisation shall specify the number and class of shares in respect of which each such person is so authorized. A person so authorized pursuant to this provision shall be entitled to exercise the same powers on behalf of the clearing house (or its nominee) which he represents as that clearing house (or its nominee) could exercise if it were an individual member of the Company holding the number and class of shares specified in such authorisation.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62" w:name="page263"/>
    <w:bookmarkEnd w:id="26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w:t>
      </w:r>
    </w:p>
    <w:p>
      <w:pPr>
        <w:spacing w:after="0" w:line="218" w:lineRule="exact"/>
        <w:rPr>
          <w:sz w:val="20"/>
          <w:szCs w:val="20"/>
          <w:color w:val="auto"/>
        </w:rPr>
      </w:pPr>
    </w:p>
    <w:p>
      <w:pPr>
        <w:ind w:left="1132" w:right="240" w:hanging="1129"/>
        <w:spacing w:after="0" w:line="259" w:lineRule="auto"/>
        <w:tabs>
          <w:tab w:leader="none" w:pos="48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(A)Unless otherwise determined by the Company in general meeting, the number of Directors shall not be less than three Directors. The Directors shall be elected or appointed in the first place by the subscribers to the Memorandum of Association or by a majority of them and thereafter by the Members at general meeting.</w:t>
      </w:r>
    </w:p>
    <w:p>
      <w:pPr>
        <w:spacing w:after="0" w:line="72" w:lineRule="exact"/>
        <w:rPr>
          <w:rFonts w:ascii="Arial" w:cs="Arial" w:eastAsia="Arial" w:hAnsi="Arial"/>
          <w:sz w:val="18"/>
          <w:szCs w:val="18"/>
          <w:color w:val="auto"/>
        </w:rPr>
      </w:pPr>
    </w:p>
    <w:p>
      <w:pPr>
        <w:ind w:left="1132" w:hanging="565"/>
        <w:spacing w:after="0"/>
        <w:tabs>
          <w:tab w:leader="none" w:pos="113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Each Director shall hold office until the expiration of his term and until his successor shall have been elected and qualified.</w:t>
      </w:r>
    </w:p>
    <w:p>
      <w:pPr>
        <w:spacing w:after="0" w:line="90" w:lineRule="exact"/>
        <w:rPr>
          <w:rFonts w:ascii="Arial" w:cs="Arial" w:eastAsia="Arial" w:hAnsi="Arial"/>
          <w:sz w:val="18"/>
          <w:szCs w:val="18"/>
          <w:color w:val="auto"/>
        </w:rPr>
      </w:pPr>
    </w:p>
    <w:p>
      <w:pPr>
        <w:ind w:left="1132" w:right="140" w:hanging="565"/>
        <w:spacing w:after="0" w:line="294" w:lineRule="auto"/>
        <w:tabs>
          <w:tab w:leader="none" w:pos="1132" w:val="left"/>
        </w:tabs>
        <w:numPr>
          <w:ilvl w:val="1"/>
          <w:numId w:val="221"/>
        </w:numPr>
        <w:rPr>
          <w:rFonts w:ascii="Arial" w:cs="Arial" w:eastAsia="Arial" w:hAnsi="Arial"/>
          <w:sz w:val="16"/>
          <w:szCs w:val="16"/>
          <w:color w:val="auto"/>
        </w:rPr>
      </w:pPr>
      <w:r>
        <w:rPr>
          <w:rFonts w:ascii="Arial" w:cs="Arial" w:eastAsia="Arial" w:hAnsi="Arial"/>
          <w:sz w:val="16"/>
          <w:szCs w:val="16"/>
          <w:color w:val="auto"/>
        </w:rPr>
        <w:t>The Board of Directors shall have a Chairman of the Board of Directors (the “Chairman”) elected and appointed by a majority of the Directors then in office. The Directors may also elect a Vice-Chairman of the Board of Directors (the “Vice-Chairman”). The Chairman shall preside as chairman at every meeting of the Board of Directors. To the extent the Chairman is not present at a meeting of the Board of Directors, the Vice-Chairman, or in his absence, the attending Directors may choose one Director to be the chairman of the meeting. The Chairman’s voting right as to the matters to be decided by the Board of Directors shall be the same as other Directors.</w:t>
      </w:r>
    </w:p>
    <w:p>
      <w:pPr>
        <w:spacing w:after="0" w:line="34" w:lineRule="exact"/>
        <w:rPr>
          <w:rFonts w:ascii="Arial" w:cs="Arial" w:eastAsia="Arial" w:hAnsi="Arial"/>
          <w:sz w:val="16"/>
          <w:szCs w:val="16"/>
          <w:color w:val="auto"/>
        </w:rPr>
      </w:pPr>
    </w:p>
    <w:p>
      <w:pPr>
        <w:ind w:left="1132" w:right="440" w:hanging="565"/>
        <w:spacing w:after="0" w:line="268" w:lineRule="auto"/>
        <w:tabs>
          <w:tab w:leader="none" w:pos="113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Subject to these Articles and the Companies Law, the Company may by Ordinary Resolution elect any person to be a Director either to fill a casual vacancy on the Board or as an addition to the existing Board.</w:t>
      </w:r>
    </w:p>
    <w:p>
      <w:pPr>
        <w:spacing w:after="0" w:line="50" w:lineRule="exact"/>
        <w:rPr>
          <w:rFonts w:ascii="Arial" w:cs="Arial" w:eastAsia="Arial" w:hAnsi="Arial"/>
          <w:sz w:val="18"/>
          <w:szCs w:val="18"/>
          <w:color w:val="auto"/>
        </w:rPr>
      </w:pPr>
    </w:p>
    <w:p>
      <w:pPr>
        <w:ind w:left="1132" w:hanging="565"/>
        <w:spacing w:after="0" w:line="259" w:lineRule="auto"/>
        <w:tabs>
          <w:tab w:leader="none" w:pos="113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Notwithstanding the foregoing, the Directors by the affirmative vote of a simple majority of the remaining Directors present and voting at a Board meeting shall have the power from time to time and at any time to appoint any person as a Director to fill a casual vacancy on the Board or as an addition to the existing Board.</w:t>
      </w:r>
    </w:p>
    <w:p>
      <w:pPr>
        <w:spacing w:after="0" w:line="59" w:lineRule="exact"/>
        <w:rPr>
          <w:rFonts w:ascii="Arial" w:cs="Arial" w:eastAsia="Arial" w:hAnsi="Arial"/>
          <w:sz w:val="18"/>
          <w:szCs w:val="18"/>
          <w:color w:val="auto"/>
        </w:rPr>
      </w:pPr>
    </w:p>
    <w:p>
      <w:pPr>
        <w:ind w:left="572" w:right="460" w:hanging="572"/>
        <w:spacing w:after="0" w:line="259" w:lineRule="auto"/>
        <w:tabs>
          <w:tab w:leader="none" w:pos="5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Subject to Article 77, a Director may be removed from office by Ordinary Resolution at any time before the expiration of his term notwithstanding anything in these Articles or in any agreement between the Company and such Director (but without prejudice to any claim for damages under such agreement).</w:t>
      </w:r>
    </w:p>
    <w:p>
      <w:pPr>
        <w:spacing w:after="0" w:line="59" w:lineRule="exact"/>
        <w:rPr>
          <w:rFonts w:ascii="Arial" w:cs="Arial" w:eastAsia="Arial" w:hAnsi="Arial"/>
          <w:sz w:val="18"/>
          <w:szCs w:val="18"/>
          <w:color w:val="auto"/>
        </w:rPr>
      </w:pPr>
    </w:p>
    <w:p>
      <w:pPr>
        <w:ind w:left="572" w:right="160" w:hanging="572"/>
        <w:spacing w:after="0" w:line="259" w:lineRule="auto"/>
        <w:tabs>
          <w:tab w:leader="none" w:pos="5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vacancy on the Board created by the removal of a Director under the provisions of Article 78 above may be filled by the election or appointment by Ordinary Resolution at the meeting at which such Director is removed or by the affirmative vote of a simple majority of the remaining Directors present and voting at a Board meeting.</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12"/>
          </w:cols>
          <w:pgMar w:left="248" w:top="274" w:right="239" w:bottom="1440" w:gutter="0" w:footer="0" w:header="0"/>
        </w:sectPr>
      </w:pPr>
    </w:p>
    <w:bookmarkStart w:id="263" w:name="page264"/>
    <w:bookmarkEnd w:id="263"/>
    <w:p>
      <w:pPr>
        <w:ind w:left="572" w:right="80" w:hanging="572"/>
        <w:spacing w:after="0" w:line="256" w:lineRule="auto"/>
        <w:tabs>
          <w:tab w:leader="none" w:pos="572"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may, from time to time, and except as required by applicable law or the listing rules of the recognized stock exchange or automated quotation system where the Company’s securities are traded,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62" w:lineRule="exact"/>
        <w:rPr>
          <w:rFonts w:ascii="Arial" w:cs="Arial" w:eastAsia="Arial" w:hAnsi="Arial"/>
          <w:sz w:val="18"/>
          <w:szCs w:val="18"/>
          <w:color w:val="auto"/>
        </w:rPr>
      </w:pPr>
    </w:p>
    <w:p>
      <w:pPr>
        <w:ind w:left="572" w:right="500" w:hanging="572"/>
        <w:spacing w:after="0" w:line="370" w:lineRule="auto"/>
        <w:tabs>
          <w:tab w:leader="none" w:pos="572" w:val="left"/>
        </w:tabs>
        <w:numPr>
          <w:ilvl w:val="0"/>
          <w:numId w:val="222"/>
        </w:numPr>
        <w:rPr>
          <w:rFonts w:ascii="Arial" w:cs="Arial" w:eastAsia="Arial" w:hAnsi="Arial"/>
          <w:sz w:val="15"/>
          <w:szCs w:val="15"/>
          <w:color w:val="auto"/>
        </w:rPr>
      </w:pPr>
      <w:r>
        <w:rPr>
          <w:rFonts w:ascii="Arial" w:cs="Arial" w:eastAsia="Arial" w:hAnsi="Arial"/>
          <w:sz w:val="15"/>
          <w:szCs w:val="15"/>
          <w:color w:val="auto"/>
        </w:rPr>
        <w:t>A Director shall not be required to hold any shares in the Company by way of qualification. A Director who is not a member of the Company shall nevertheless be entitled to receive notice of and to attend and speak at general meetings of the Company and all classes of shares of the Company.</w:t>
      </w:r>
    </w:p>
    <w:p>
      <w:pPr>
        <w:spacing w:after="0" w:line="21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DIRECTORS’ FEES AND EXPENSES</w:t>
      </w:r>
    </w:p>
    <w:p>
      <w:pPr>
        <w:spacing w:after="0" w:line="218" w:lineRule="exact"/>
        <w:rPr>
          <w:sz w:val="20"/>
          <w:szCs w:val="20"/>
          <w:color w:val="auto"/>
        </w:rPr>
      </w:pPr>
    </w:p>
    <w:p>
      <w:pPr>
        <w:ind w:left="572" w:right="80" w:hanging="572"/>
        <w:spacing w:after="0" w:line="256" w:lineRule="auto"/>
        <w:tabs>
          <w:tab w:leader="none" w:pos="5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Directors may receive such remuneration as the Board may from time to time determine. The Directors may be entitled to be 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62" w:lineRule="exact"/>
        <w:rPr>
          <w:rFonts w:ascii="Arial" w:cs="Arial" w:eastAsia="Arial" w:hAnsi="Arial"/>
          <w:sz w:val="18"/>
          <w:szCs w:val="18"/>
          <w:color w:val="auto"/>
        </w:rPr>
      </w:pPr>
    </w:p>
    <w:p>
      <w:pPr>
        <w:ind w:left="572" w:right="140" w:hanging="572"/>
        <w:spacing w:after="0" w:line="256" w:lineRule="auto"/>
        <w:tabs>
          <w:tab w:leader="none" w:pos="5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29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ALTERNATE DIRECTOR</w:t>
      </w:r>
    </w:p>
    <w:p>
      <w:pPr>
        <w:spacing w:after="0" w:line="218" w:lineRule="exact"/>
        <w:rPr>
          <w:sz w:val="20"/>
          <w:szCs w:val="20"/>
          <w:color w:val="auto"/>
        </w:rPr>
      </w:pPr>
    </w:p>
    <w:p>
      <w:pPr>
        <w:ind w:left="572" w:right="160" w:hanging="572"/>
        <w:spacing w:after="0" w:line="294" w:lineRule="auto"/>
        <w:tabs>
          <w:tab w:leader="none" w:pos="57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not be an officer of the Company and shall be deemed to be the agent of the Director appointing him.</w:t>
      </w:r>
    </w:p>
    <w:p>
      <w:pPr>
        <w:spacing w:after="0" w:line="34" w:lineRule="exact"/>
        <w:rPr>
          <w:rFonts w:ascii="Arial" w:cs="Arial" w:eastAsia="Arial" w:hAnsi="Arial"/>
          <w:sz w:val="16"/>
          <w:szCs w:val="16"/>
          <w:color w:val="auto"/>
        </w:rPr>
      </w:pPr>
    </w:p>
    <w:p>
      <w:pPr>
        <w:ind w:left="572" w:hanging="572"/>
        <w:spacing w:after="0" w:line="294" w:lineRule="auto"/>
        <w:tabs>
          <w:tab w:leader="none" w:pos="57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72"/>
          </w:cols>
          <w:pgMar w:left="248" w:top="280" w:right="279" w:bottom="1440" w:gutter="0" w:footer="0" w:header="0"/>
        </w:sectPr>
      </w:pPr>
    </w:p>
    <w:bookmarkStart w:id="264" w:name="page265"/>
    <w:bookmarkEnd w:id="264"/>
    <w:p>
      <w:pPr>
        <w:jc w:val="center"/>
        <w:ind w:right="-1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POWERS AND DUTIES OF DIRECTORS</w:t>
      </w:r>
    </w:p>
    <w:p>
      <w:pPr>
        <w:spacing w:after="0" w:line="218" w:lineRule="exact"/>
        <w:rPr>
          <w:sz w:val="20"/>
          <w:szCs w:val="20"/>
          <w:color w:val="auto"/>
        </w:rPr>
      </w:pPr>
    </w:p>
    <w:p>
      <w:pPr>
        <w:ind w:left="572" w:right="40" w:hanging="572"/>
        <w:spacing w:after="0" w:line="256" w:lineRule="auto"/>
        <w:tabs>
          <w:tab w:leader="none" w:pos="5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that would have been valid if that resolution had not been made.</w:t>
      </w:r>
    </w:p>
    <w:p>
      <w:pPr>
        <w:spacing w:after="0" w:line="62" w:lineRule="exact"/>
        <w:rPr>
          <w:rFonts w:ascii="Arial" w:cs="Arial" w:eastAsia="Arial" w:hAnsi="Arial"/>
          <w:sz w:val="18"/>
          <w:szCs w:val="18"/>
          <w:color w:val="auto"/>
        </w:rPr>
      </w:pPr>
    </w:p>
    <w:p>
      <w:pPr>
        <w:ind w:left="572" w:hanging="572"/>
        <w:spacing w:after="0" w:line="290" w:lineRule="auto"/>
        <w:tabs>
          <w:tab w:leader="none" w:pos="57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Subject to these Articles, the Directors may from time to time appoint any person, whether or not a director of the Company to hold such office in the Company as the Directors may think necessary for the administration of the Company, including without prejudice to the foregoing generality, the office of the Chief Executive Officer, one or more Vice Presidents, Chief Financial Officer, Manager or Controller, and for such term and at such remuneration (whether by way of salary or commission or participation in profits or partly in one way and partly in another), and with such powers and duties as the Directors may think fit. The Directors may also appoint one or more of their number to the office of Managing Director upon like terms, but any such appointment shall ipso facto determine if any Managing Director ceases from any cause to be a Director, or if the Company by Ordinary Resolution resolves that his tenure of office be terminated.</w:t>
      </w:r>
    </w:p>
    <w:p>
      <w:pPr>
        <w:spacing w:after="0" w:line="37" w:lineRule="exact"/>
        <w:rPr>
          <w:rFonts w:ascii="Arial" w:cs="Arial" w:eastAsia="Arial" w:hAnsi="Arial"/>
          <w:sz w:val="16"/>
          <w:szCs w:val="16"/>
          <w:color w:val="auto"/>
        </w:rPr>
      </w:pPr>
    </w:p>
    <w:p>
      <w:pPr>
        <w:ind w:left="572" w:right="100" w:hanging="572"/>
        <w:spacing w:after="0" w:line="332" w:lineRule="auto"/>
        <w:tabs>
          <w:tab w:leader="none" w:pos="57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4" w:lineRule="exact"/>
        <w:rPr>
          <w:rFonts w:ascii="Arial" w:cs="Arial" w:eastAsia="Arial" w:hAnsi="Arial"/>
          <w:sz w:val="16"/>
          <w:szCs w:val="16"/>
          <w:color w:val="auto"/>
        </w:rPr>
      </w:pPr>
    </w:p>
    <w:p>
      <w:pPr>
        <w:ind w:left="572" w:right="20" w:hanging="572"/>
        <w:spacing w:after="0" w:line="294" w:lineRule="auto"/>
        <w:tabs>
          <w:tab w:leader="none" w:pos="57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34" w:lineRule="exact"/>
        <w:rPr>
          <w:rFonts w:ascii="Arial" w:cs="Arial" w:eastAsia="Arial" w:hAnsi="Arial"/>
          <w:sz w:val="16"/>
          <w:szCs w:val="16"/>
          <w:color w:val="auto"/>
        </w:rPr>
      </w:pPr>
    </w:p>
    <w:p>
      <w:pPr>
        <w:ind w:left="572" w:right="20" w:hanging="572"/>
        <w:spacing w:after="0" w:line="268" w:lineRule="auto"/>
        <w:tabs>
          <w:tab w:leader="none" w:pos="5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Directors may from time to time provide for the management of the affairs of the Company in such manner as they shall think fit and the provisions contained in the following paragraphs shall be without prejudice to the general powers conferred by this paragraph.</w:t>
      </w:r>
    </w:p>
    <w:p>
      <w:pPr>
        <w:spacing w:after="0" w:line="50" w:lineRule="exact"/>
        <w:rPr>
          <w:rFonts w:ascii="Arial" w:cs="Arial" w:eastAsia="Arial" w:hAnsi="Arial"/>
          <w:sz w:val="18"/>
          <w:szCs w:val="18"/>
          <w:color w:val="auto"/>
        </w:rPr>
      </w:pPr>
    </w:p>
    <w:p>
      <w:pPr>
        <w:ind w:left="572" w:right="20" w:hanging="572"/>
        <w:spacing w:after="0" w:line="259" w:lineRule="auto"/>
        <w:tabs>
          <w:tab w:leader="none" w:pos="5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any of the aforesaid.</w:t>
      </w:r>
    </w:p>
    <w:p>
      <w:pPr>
        <w:spacing w:after="0" w:line="127"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92"/>
          </w:cols>
          <w:pgMar w:left="248" w:top="274" w:right="359" w:bottom="1440" w:gutter="0" w:footer="0" w:header="0"/>
        </w:sectPr>
      </w:pPr>
    </w:p>
    <w:bookmarkStart w:id="265" w:name="page266"/>
    <w:bookmarkEnd w:id="265"/>
    <w:p>
      <w:pPr>
        <w:ind w:left="572" w:right="100" w:hanging="572"/>
        <w:spacing w:after="0" w:line="294" w:lineRule="auto"/>
        <w:tabs>
          <w:tab w:leader="none" w:pos="572" w:val="left"/>
        </w:tabs>
        <w:numPr>
          <w:ilvl w:val="0"/>
          <w:numId w:val="2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34" w:lineRule="exact"/>
        <w:rPr>
          <w:rFonts w:ascii="Arial" w:cs="Arial" w:eastAsia="Arial" w:hAnsi="Arial"/>
          <w:sz w:val="16"/>
          <w:szCs w:val="16"/>
          <w:color w:val="auto"/>
        </w:rPr>
      </w:pPr>
    </w:p>
    <w:p>
      <w:pPr>
        <w:ind w:left="572" w:right="20" w:hanging="572"/>
        <w:spacing w:after="0" w:line="268" w:lineRule="auto"/>
        <w:tabs>
          <w:tab w:leader="none" w:pos="57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such delegates as aforesaid may be authorized by the Directors to subdelegate all or any of the powers, authorities, and discretions for the time being vested to them.</w:t>
      </w:r>
    </w:p>
    <w:p>
      <w:pPr>
        <w:spacing w:after="0" w:line="50" w:lineRule="exact"/>
        <w:rPr>
          <w:rFonts w:ascii="Arial" w:cs="Arial" w:eastAsia="Arial" w:hAnsi="Arial"/>
          <w:sz w:val="18"/>
          <w:szCs w:val="18"/>
          <w:color w:val="auto"/>
        </w:rPr>
      </w:pPr>
    </w:p>
    <w:p>
      <w:pPr>
        <w:jc w:val="both"/>
        <w:ind w:left="572" w:right="80" w:hanging="572"/>
        <w:spacing w:after="0" w:line="259" w:lineRule="auto"/>
        <w:tabs>
          <w:tab w:leader="none" w:pos="57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Directors may exercise all the powers of the Company to borrow money and to mortgage or charge its undertaking, property and uncalled capital or any part thereof, to issue debentures, debenture stock and other securities whenever money is borrowed or as security for any debt, liability or obligation of the Company or of any third party.</w:t>
      </w:r>
    </w:p>
    <w:p>
      <w:pPr>
        <w:spacing w:after="0" w:line="296"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DISQUALIFICATION OF DIRECTORS</w:t>
      </w:r>
    </w:p>
    <w:p>
      <w:pPr>
        <w:spacing w:after="0" w:line="218" w:lineRule="exact"/>
        <w:rPr>
          <w:sz w:val="20"/>
          <w:szCs w:val="20"/>
          <w:color w:val="auto"/>
        </w:rPr>
      </w:pPr>
    </w:p>
    <w:p>
      <w:pPr>
        <w:ind w:left="572" w:hanging="572"/>
        <w:spacing w:after="0"/>
        <w:tabs>
          <w:tab w:leader="none" w:pos="57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Subject to Article 77, the office of Director shall be vacated, if the Director:</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becomes bankrupt or makes any arrangement or composition with his creditors;</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is found to be or becomes of unsound mind;</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resigns his office by notice in writing to the Company;</w:t>
      </w:r>
    </w:p>
    <w:p>
      <w:pPr>
        <w:spacing w:after="0" w:line="90" w:lineRule="exact"/>
        <w:rPr>
          <w:rFonts w:ascii="Arial" w:cs="Arial" w:eastAsia="Arial" w:hAnsi="Arial"/>
          <w:sz w:val="18"/>
          <w:szCs w:val="18"/>
          <w:color w:val="auto"/>
        </w:rPr>
      </w:pPr>
    </w:p>
    <w:p>
      <w:pPr>
        <w:ind w:left="1132" w:right="40" w:hanging="565"/>
        <w:spacing w:after="0" w:line="268" w:lineRule="auto"/>
        <w:tabs>
          <w:tab w:leader="none" w:pos="113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without special leave of absence from the Board, is absent from meetings of the Board for six consecutive months and the Board resolves that his office be vacated; or</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if he or she shall be removed from office pursuant to these Articles or the Statutes.</w:t>
      </w:r>
    </w:p>
    <w:p>
      <w:pPr>
        <w:spacing w:after="0" w:line="3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PROCEEDINGS OF DIRECTORS</w:t>
      </w:r>
    </w:p>
    <w:p>
      <w:pPr>
        <w:spacing w:after="0" w:line="218" w:lineRule="exact"/>
        <w:rPr>
          <w:sz w:val="20"/>
          <w:szCs w:val="20"/>
          <w:color w:val="auto"/>
        </w:rPr>
      </w:pPr>
    </w:p>
    <w:p>
      <w:pPr>
        <w:ind w:left="572" w:hanging="572"/>
        <w:spacing w:after="0" w:line="256" w:lineRule="auto"/>
        <w:tabs>
          <w:tab w:leader="none" w:pos="57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Subject to Article 77, the Directors may meet together (whether within or outside the Cayman Islands) for the dispatch of business, adjourn, and otherwise regulate their meetings and proceedings as they think fit. Questions arising at any meeting of the Directors shall be decided by a majority of votes. In case of an equality of votes the chairman shall not have a second or casting vote. A Director may at any time summon a meeting of the Directors by at least two days’ notice in writing to every other Director and alternate Director.</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72"/>
          </w:cols>
          <w:pgMar w:left="248" w:top="280" w:right="279" w:bottom="1440" w:gutter="0" w:footer="0" w:header="0"/>
        </w:sectPr>
      </w:pPr>
    </w:p>
    <w:bookmarkStart w:id="266" w:name="page267"/>
    <w:bookmarkEnd w:id="266"/>
    <w:p>
      <w:pPr>
        <w:jc w:val="both"/>
        <w:ind w:left="572" w:hanging="572"/>
        <w:spacing w:after="0" w:line="306" w:lineRule="auto"/>
        <w:tabs>
          <w:tab w:leader="none" w:pos="572" w:val="left"/>
        </w:tabs>
        <w:numPr>
          <w:ilvl w:val="0"/>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w:t>
      </w:r>
    </w:p>
    <w:p>
      <w:pPr>
        <w:spacing w:after="0" w:line="25" w:lineRule="exact"/>
        <w:rPr>
          <w:rFonts w:ascii="Arial" w:cs="Arial" w:eastAsia="Arial" w:hAnsi="Arial"/>
          <w:sz w:val="16"/>
          <w:szCs w:val="16"/>
          <w:color w:val="auto"/>
        </w:rPr>
      </w:pPr>
    </w:p>
    <w:p>
      <w:pPr>
        <w:ind w:left="572" w:right="40" w:hanging="572"/>
        <w:spacing w:after="0" w:line="294" w:lineRule="auto"/>
        <w:tabs>
          <w:tab w:leader="none" w:pos="57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quorum necessary for the transaction of the business of the Directors may be fixed by the Directors and unless so fixed shall be a majority in number, of the Directors then serving on the Board, provided that a Director and his appointed alternate Director shall be considered only one person for this purpose. A meeting of the Directors at which a quorum is present when the meeting proceeds to business shall be competent to exercise all powers and discretions for the time being exercisable by the Directors. A meeting of the Directors may be held by means of telephone or teleconferencing or any other telecommunications facility provided that all participants are thereby able to communicate immediately by voice with all other participants.</w:t>
      </w:r>
    </w:p>
    <w:p>
      <w:pPr>
        <w:spacing w:after="0" w:line="34" w:lineRule="exact"/>
        <w:rPr>
          <w:rFonts w:ascii="Arial" w:cs="Arial" w:eastAsia="Arial" w:hAnsi="Arial"/>
          <w:sz w:val="16"/>
          <w:szCs w:val="16"/>
          <w:color w:val="auto"/>
        </w:rPr>
      </w:pPr>
    </w:p>
    <w:p>
      <w:pPr>
        <w:ind w:left="572" w:right="100" w:hanging="572"/>
        <w:spacing w:after="0" w:line="291" w:lineRule="auto"/>
        <w:tabs>
          <w:tab w:leader="none" w:pos="57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Subject to Article 77, a Director who is in any way, whether directly or indirectly, interested in a contract or proposed contract with the Company shall declare the nature of his interest at a meeting of the Directors. A general notice given to the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39" w:lineRule="exact"/>
        <w:rPr>
          <w:rFonts w:ascii="Arial" w:cs="Arial" w:eastAsia="Arial" w:hAnsi="Arial"/>
          <w:sz w:val="16"/>
          <w:szCs w:val="16"/>
          <w:color w:val="auto"/>
        </w:rPr>
      </w:pPr>
    </w:p>
    <w:p>
      <w:pPr>
        <w:ind w:left="572" w:right="100" w:hanging="572"/>
        <w:spacing w:after="0" w:line="252" w:lineRule="auto"/>
        <w:tabs>
          <w:tab w:leader="none" w:pos="57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whereat he or any other Director is appointed to hold any such office or place of profit under the Company or whereat the terms of any such appointment are arranged and he may vote on any such appointment or arrangement.</w:t>
      </w:r>
    </w:p>
    <w:p>
      <w:pPr>
        <w:spacing w:after="0" w:line="69" w:lineRule="exact"/>
        <w:rPr>
          <w:rFonts w:ascii="Arial" w:cs="Arial" w:eastAsia="Arial" w:hAnsi="Arial"/>
          <w:sz w:val="18"/>
          <w:szCs w:val="18"/>
          <w:color w:val="auto"/>
        </w:rPr>
      </w:pPr>
    </w:p>
    <w:p>
      <w:pPr>
        <w:ind w:left="572" w:right="420" w:hanging="572"/>
        <w:spacing w:after="0" w:line="259" w:lineRule="auto"/>
        <w:tabs>
          <w:tab w:leader="none" w:pos="57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12"/>
          </w:cols>
          <w:pgMar w:left="248" w:top="280" w:right="239" w:bottom="1440" w:gutter="0" w:footer="0" w:header="0"/>
        </w:sectPr>
      </w:pPr>
    </w:p>
    <w:bookmarkStart w:id="267" w:name="page268"/>
    <w:bookmarkEnd w:id="267"/>
    <w:p>
      <w:pPr>
        <w:ind w:left="572" w:hanging="572"/>
        <w:spacing w:after="0"/>
        <w:tabs>
          <w:tab w:leader="none" w:pos="5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Directors shall cause minutes to be made in books or loose-leaf folders provided for the purpose of recording:</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all appointments of officers made by the Directors;</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names of the Directors present at each meeting of the Directors and of any committee of the Directors; and</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all resolutions and proceedings at all meetings of the Company, and of the Directors and of committees of Directors.</w:t>
      </w:r>
    </w:p>
    <w:p>
      <w:pPr>
        <w:spacing w:after="0" w:line="90" w:lineRule="exact"/>
        <w:rPr>
          <w:rFonts w:ascii="Arial" w:cs="Arial" w:eastAsia="Arial" w:hAnsi="Arial"/>
          <w:sz w:val="18"/>
          <w:szCs w:val="18"/>
          <w:color w:val="auto"/>
        </w:rPr>
      </w:pPr>
    </w:p>
    <w:p>
      <w:pPr>
        <w:ind w:left="572" w:hanging="572"/>
        <w:spacing w:after="0" w:line="332" w:lineRule="auto"/>
        <w:tabs>
          <w:tab w:leader="none" w:pos="57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4" w:lineRule="exact"/>
        <w:rPr>
          <w:rFonts w:ascii="Arial" w:cs="Arial" w:eastAsia="Arial" w:hAnsi="Arial"/>
          <w:sz w:val="16"/>
          <w:szCs w:val="16"/>
          <w:color w:val="auto"/>
        </w:rPr>
      </w:pPr>
    </w:p>
    <w:p>
      <w:pPr>
        <w:ind w:left="572" w:right="240" w:hanging="572"/>
        <w:spacing w:after="0" w:line="268" w:lineRule="auto"/>
        <w:tabs>
          <w:tab w:leader="none" w:pos="5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resolution signed by all the Directors shall be as valid and effectual as if it had been passed at a meeting of the Directors duly called and constituted. When signed a resolution may consist of several documents each signed by one or more of the Directors.</w:t>
      </w:r>
    </w:p>
    <w:p>
      <w:pPr>
        <w:spacing w:after="0" w:line="50" w:lineRule="exact"/>
        <w:rPr>
          <w:rFonts w:ascii="Arial" w:cs="Arial" w:eastAsia="Arial" w:hAnsi="Arial"/>
          <w:sz w:val="18"/>
          <w:szCs w:val="18"/>
          <w:color w:val="auto"/>
        </w:rPr>
      </w:pPr>
    </w:p>
    <w:p>
      <w:pPr>
        <w:ind w:left="572" w:right="140" w:hanging="572"/>
        <w:spacing w:after="0" w:line="259" w:lineRule="auto"/>
        <w:tabs>
          <w:tab w:leader="none" w:pos="5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vacancy in their body but if and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59" w:lineRule="exact"/>
        <w:rPr>
          <w:rFonts w:ascii="Arial" w:cs="Arial" w:eastAsia="Arial" w:hAnsi="Arial"/>
          <w:sz w:val="18"/>
          <w:szCs w:val="18"/>
          <w:color w:val="auto"/>
        </w:rPr>
      </w:pPr>
    </w:p>
    <w:p>
      <w:pPr>
        <w:ind w:left="572" w:right="120" w:hanging="572"/>
        <w:spacing w:after="0" w:line="259" w:lineRule="auto"/>
        <w:tabs>
          <w:tab w:leader="none" w:pos="5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Directors shall elect a chairman of their meetings and determine the period for which he is to hold office but if at any meeting the chairman is not present within fifteen minutes after the time appointed for holding the same, the Directors present may choose one of their number to be chairman of the meeting.</w:t>
      </w:r>
    </w:p>
    <w:p>
      <w:pPr>
        <w:spacing w:after="0" w:line="59" w:lineRule="exact"/>
        <w:rPr>
          <w:rFonts w:ascii="Arial" w:cs="Arial" w:eastAsia="Arial" w:hAnsi="Arial"/>
          <w:sz w:val="18"/>
          <w:szCs w:val="18"/>
          <w:color w:val="auto"/>
        </w:rPr>
      </w:pPr>
    </w:p>
    <w:p>
      <w:pPr>
        <w:jc w:val="both"/>
        <w:ind w:left="572" w:right="320" w:hanging="572"/>
        <w:spacing w:after="0" w:line="259" w:lineRule="auto"/>
        <w:tabs>
          <w:tab w:leader="none" w:pos="5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committee appointed by the Directors may elect a chairman of its meetings. If no such chairman is elected, or if at any meeting the chairman is not present within five minutes after the time appointed for holding the same, the members present may choose one of their number to be chairman of the meeting.</w:t>
      </w:r>
    </w:p>
    <w:p>
      <w:pPr>
        <w:spacing w:after="0" w:line="59" w:lineRule="exact"/>
        <w:rPr>
          <w:rFonts w:ascii="Arial" w:cs="Arial" w:eastAsia="Arial" w:hAnsi="Arial"/>
          <w:sz w:val="18"/>
          <w:szCs w:val="18"/>
          <w:color w:val="auto"/>
        </w:rPr>
      </w:pPr>
    </w:p>
    <w:p>
      <w:pPr>
        <w:ind w:left="572" w:right="120" w:hanging="572"/>
        <w:spacing w:after="0" w:line="332" w:lineRule="auto"/>
        <w:tabs>
          <w:tab w:leader="none" w:pos="57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 committee appointed by the Directors may meet and adjourn as it thinks proper. Questions arising at any meeting shall be determined by a majority of votes of the committee members present and in case of an equality of votes the chairman shall have a second or casting vote.</w:t>
      </w:r>
    </w:p>
    <w:p>
      <w:pPr>
        <w:spacing w:after="0" w:line="4" w:lineRule="exact"/>
        <w:rPr>
          <w:rFonts w:ascii="Arial" w:cs="Arial" w:eastAsia="Arial" w:hAnsi="Arial"/>
          <w:sz w:val="16"/>
          <w:szCs w:val="16"/>
          <w:color w:val="auto"/>
        </w:rPr>
      </w:pPr>
    </w:p>
    <w:p>
      <w:pPr>
        <w:ind w:left="572" w:right="140" w:hanging="572"/>
        <w:spacing w:after="0" w:line="306" w:lineRule="auto"/>
        <w:tabs>
          <w:tab w:leader="none" w:pos="57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92"/>
          </w:cols>
          <w:pgMar w:left="248" w:top="280" w:right="259" w:bottom="1440" w:gutter="0" w:footer="0" w:header="0"/>
        </w:sectPr>
      </w:pPr>
    </w:p>
    <w:bookmarkStart w:id="268" w:name="page269"/>
    <w:bookmarkEnd w:id="268"/>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PRESUMPTION OF ASSENT</w:t>
      </w:r>
    </w:p>
    <w:p>
      <w:pPr>
        <w:spacing w:after="0" w:line="96" w:lineRule="exact"/>
        <w:rPr>
          <w:sz w:val="20"/>
          <w:szCs w:val="20"/>
          <w:color w:val="auto"/>
        </w:rPr>
      </w:pPr>
    </w:p>
    <w:p>
      <w:pPr>
        <w:ind w:left="572" w:right="80" w:hanging="572"/>
        <w:spacing w:after="0" w:line="323" w:lineRule="auto"/>
        <w:tabs>
          <w:tab w:leader="none" w:pos="572" w:val="left"/>
        </w:tabs>
        <w:numPr>
          <w:ilvl w:val="0"/>
          <w:numId w:val="231"/>
        </w:numPr>
        <w:rPr>
          <w:rFonts w:ascii="Arial" w:cs="Arial" w:eastAsia="Arial" w:hAnsi="Arial"/>
          <w:sz w:val="15"/>
          <w:szCs w:val="15"/>
          <w:color w:val="auto"/>
        </w:rPr>
      </w:pPr>
      <w:r>
        <w:rPr>
          <w:rFonts w:ascii="Arial" w:cs="Arial" w:eastAsia="Arial" w:hAnsi="Arial"/>
          <w:sz w:val="15"/>
          <w:szCs w:val="15"/>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25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DIVIDENDS, DISTRIBUTIONS AND RESERVE</w:t>
      </w:r>
    </w:p>
    <w:p>
      <w:pPr>
        <w:spacing w:after="0" w:line="218" w:lineRule="exact"/>
        <w:rPr>
          <w:sz w:val="20"/>
          <w:szCs w:val="20"/>
          <w:color w:val="auto"/>
        </w:rPr>
      </w:pPr>
    </w:p>
    <w:p>
      <w:pPr>
        <w:ind w:left="572" w:right="140" w:hanging="572"/>
        <w:spacing w:after="0" w:line="259" w:lineRule="auto"/>
        <w:tabs>
          <w:tab w:leader="none" w:pos="57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w:t>
      </w:r>
    </w:p>
    <w:p>
      <w:pPr>
        <w:spacing w:after="0" w:line="59" w:lineRule="exact"/>
        <w:rPr>
          <w:rFonts w:ascii="Arial" w:cs="Arial" w:eastAsia="Arial" w:hAnsi="Arial"/>
          <w:sz w:val="18"/>
          <w:szCs w:val="18"/>
          <w:color w:val="auto"/>
        </w:rPr>
      </w:pPr>
    </w:p>
    <w:p>
      <w:pPr>
        <w:ind w:left="572" w:right="40" w:hanging="572"/>
        <w:spacing w:after="0" w:line="268" w:lineRule="auto"/>
        <w:tabs>
          <w:tab w:leader="none" w:pos="57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class or classes of shares and these Articles, the Company by Ordinary Resolution may declare dividends, but no dividend shall exceed the amount recommended by the Directors.</w:t>
      </w:r>
    </w:p>
    <w:p>
      <w:pPr>
        <w:spacing w:after="0" w:line="50" w:lineRule="exact"/>
        <w:rPr>
          <w:rFonts w:ascii="Arial" w:cs="Arial" w:eastAsia="Arial" w:hAnsi="Arial"/>
          <w:sz w:val="18"/>
          <w:szCs w:val="18"/>
          <w:color w:val="auto"/>
        </w:rPr>
      </w:pPr>
    </w:p>
    <w:p>
      <w:pPr>
        <w:ind w:left="572" w:hanging="572"/>
        <w:spacing w:after="0" w:line="298" w:lineRule="auto"/>
        <w:tabs>
          <w:tab w:leader="none" w:pos="57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be properly applied and pending such application may, at the like discretion, either be employed in the business of the Company or be invested in such investments (other than shares of the Company) as the Directors may from time to time think fit.</w:t>
      </w:r>
    </w:p>
    <w:p>
      <w:pPr>
        <w:spacing w:after="0" w:line="31" w:lineRule="exact"/>
        <w:rPr>
          <w:rFonts w:ascii="Arial" w:cs="Arial" w:eastAsia="Arial" w:hAnsi="Arial"/>
          <w:sz w:val="16"/>
          <w:szCs w:val="16"/>
          <w:color w:val="auto"/>
        </w:rPr>
      </w:pPr>
    </w:p>
    <w:p>
      <w:pPr>
        <w:ind w:left="572" w:hanging="572"/>
        <w:spacing w:after="0" w:line="298" w:lineRule="auto"/>
        <w:tabs>
          <w:tab w:leader="none" w:pos="57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Any dividend may be paid by cheque or warrant sent through the post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or warrant shall be made payable to the order of the person to whom it is sent or to the order of such other person as the Member or person entitled, or such joint holders as the case may be, may direct.</w:t>
      </w:r>
    </w:p>
    <w:p>
      <w:pPr>
        <w:spacing w:after="0" w:line="31" w:lineRule="exact"/>
        <w:rPr>
          <w:rFonts w:ascii="Arial" w:cs="Arial" w:eastAsia="Arial" w:hAnsi="Arial"/>
          <w:sz w:val="16"/>
          <w:szCs w:val="16"/>
          <w:color w:val="auto"/>
        </w:rPr>
      </w:pPr>
    </w:p>
    <w:p>
      <w:pPr>
        <w:ind w:left="572" w:hanging="572"/>
        <w:spacing w:after="0"/>
        <w:tabs>
          <w:tab w:leader="none" w:pos="57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Directors when paying dividends to the Members in accordance with the foregoing provisions may make such payment either in cash or in specie.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92"/>
          </w:cols>
          <w:pgMar w:left="248" w:top="274" w:right="259" w:bottom="1440" w:gutter="0" w:footer="0" w:header="0"/>
        </w:sectPr>
      </w:pPr>
    </w:p>
    <w:bookmarkStart w:id="269" w:name="page270"/>
    <w:bookmarkEnd w:id="269"/>
    <w:p>
      <w:pPr>
        <w:ind w:left="572" w:hanging="572"/>
        <w:spacing w:after="0"/>
        <w:tabs>
          <w:tab w:leader="none" w:pos="572"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dividend shall be paid otherwise than out of profits or, subject to the restrictions of the Companies Law, the share premium account.</w:t>
      </w:r>
    </w:p>
    <w:p>
      <w:pPr>
        <w:spacing w:after="0" w:line="90" w:lineRule="exact"/>
        <w:rPr>
          <w:rFonts w:ascii="Arial" w:cs="Arial" w:eastAsia="Arial" w:hAnsi="Arial"/>
          <w:sz w:val="18"/>
          <w:szCs w:val="18"/>
          <w:color w:val="auto"/>
        </w:rPr>
      </w:pPr>
    </w:p>
    <w:p>
      <w:pPr>
        <w:ind w:left="572" w:right="160" w:hanging="572"/>
        <w:spacing w:after="0" w:line="256" w:lineRule="auto"/>
        <w:tabs>
          <w:tab w:leader="none" w:pos="57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Subject to the rights of persons, if any, entitled to shares with special rights as to dividends, all dividends shall be declared and paid according to the amounts paid or credited as fully paid on the shares, but if and so long as nothing is paid up on any of the shares in the Company dividends may be declared and paid according to the amounts of the shares. No amount paid on a share in advance of calls shall, while carrying interest, be treated for the purposes of this Article as paid on the share.</w:t>
      </w:r>
    </w:p>
    <w:p>
      <w:pPr>
        <w:spacing w:after="0" w:line="62" w:lineRule="exact"/>
        <w:rPr>
          <w:rFonts w:ascii="Arial" w:cs="Arial" w:eastAsia="Arial" w:hAnsi="Arial"/>
          <w:sz w:val="18"/>
          <w:szCs w:val="18"/>
          <w:color w:val="auto"/>
        </w:rPr>
      </w:pPr>
    </w:p>
    <w:p>
      <w:pPr>
        <w:ind w:left="572" w:right="120" w:hanging="572"/>
        <w:spacing w:after="0" w:line="268" w:lineRule="auto"/>
        <w:tabs>
          <w:tab w:leader="none" w:pos="57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several persons are registered as joint holders of any share, any of them may give effectual receipts for any dividend or other moneys payable on or in respect of the share.</w:t>
      </w:r>
    </w:p>
    <w:p>
      <w:pPr>
        <w:spacing w:after="0" w:line="50" w:lineRule="exact"/>
        <w:rPr>
          <w:rFonts w:ascii="Arial" w:cs="Arial" w:eastAsia="Arial" w:hAnsi="Arial"/>
          <w:sz w:val="18"/>
          <w:szCs w:val="18"/>
          <w:color w:val="auto"/>
        </w:rPr>
      </w:pPr>
    </w:p>
    <w:p>
      <w:pPr>
        <w:ind w:left="572" w:hanging="572"/>
        <w:spacing w:after="0"/>
        <w:tabs>
          <w:tab w:leader="none" w:pos="57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 dividend shall bear interest against the Company.</w:t>
      </w:r>
    </w:p>
    <w:p>
      <w:pPr>
        <w:spacing w:after="0" w:line="3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BOOK OF ACCOUNTS</w:t>
      </w:r>
    </w:p>
    <w:p>
      <w:pPr>
        <w:spacing w:after="0" w:line="218" w:lineRule="exact"/>
        <w:rPr>
          <w:sz w:val="20"/>
          <w:szCs w:val="20"/>
          <w:color w:val="auto"/>
        </w:rPr>
      </w:pPr>
    </w:p>
    <w:p>
      <w:pPr>
        <w:ind w:left="572" w:hanging="572"/>
        <w:spacing w:after="0"/>
        <w:tabs>
          <w:tab w:leader="none" w:pos="57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books of account relating to the Company’s affairs shall be kept in such manner as may be determined from time to time by the Directors.</w:t>
      </w:r>
    </w:p>
    <w:p>
      <w:pPr>
        <w:spacing w:after="0" w:line="113" w:lineRule="exact"/>
        <w:rPr>
          <w:rFonts w:ascii="Arial" w:cs="Arial" w:eastAsia="Arial" w:hAnsi="Arial"/>
          <w:sz w:val="16"/>
          <w:szCs w:val="16"/>
          <w:color w:val="auto"/>
        </w:rPr>
      </w:pPr>
    </w:p>
    <w:p>
      <w:pPr>
        <w:ind w:left="572" w:right="100" w:hanging="572"/>
        <w:spacing w:after="0" w:line="268" w:lineRule="auto"/>
        <w:tabs>
          <w:tab w:leader="none" w:pos="57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books of account shall be kept at the registered office of the Company, or at such other place or places as the Directors think fit, and shall always be open to the inspection of the Directors.</w:t>
      </w:r>
    </w:p>
    <w:p>
      <w:pPr>
        <w:spacing w:after="0" w:line="50" w:lineRule="exact"/>
        <w:rPr>
          <w:rFonts w:ascii="Arial" w:cs="Arial" w:eastAsia="Arial" w:hAnsi="Arial"/>
          <w:sz w:val="18"/>
          <w:szCs w:val="18"/>
          <w:color w:val="auto"/>
        </w:rPr>
      </w:pPr>
    </w:p>
    <w:p>
      <w:pPr>
        <w:ind w:left="572" w:right="140" w:hanging="572"/>
        <w:spacing w:after="0" w:line="256" w:lineRule="auto"/>
        <w:tabs>
          <w:tab w:leader="none" w:pos="57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authorized by the Directors or by the Company by Ordinary Resolution.</w:t>
      </w:r>
    </w:p>
    <w:p>
      <w:pPr>
        <w:spacing w:after="0" w:line="62" w:lineRule="exact"/>
        <w:rPr>
          <w:rFonts w:ascii="Arial" w:cs="Arial" w:eastAsia="Arial" w:hAnsi="Arial"/>
          <w:sz w:val="18"/>
          <w:szCs w:val="18"/>
          <w:color w:val="auto"/>
        </w:rPr>
      </w:pPr>
    </w:p>
    <w:p>
      <w:pPr>
        <w:jc w:val="both"/>
        <w:ind w:left="572" w:right="40" w:hanging="572"/>
        <w:spacing w:after="0" w:line="370" w:lineRule="auto"/>
        <w:tabs>
          <w:tab w:leader="none" w:pos="572" w:val="left"/>
        </w:tabs>
        <w:numPr>
          <w:ilvl w:val="0"/>
          <w:numId w:val="234"/>
        </w:numPr>
        <w:rPr>
          <w:rFonts w:ascii="Arial" w:cs="Arial" w:eastAsia="Arial" w:hAnsi="Arial"/>
          <w:sz w:val="15"/>
          <w:szCs w:val="15"/>
          <w:color w:val="auto"/>
        </w:rPr>
      </w:pPr>
      <w:r>
        <w:rPr>
          <w:rFonts w:ascii="Arial" w:cs="Arial" w:eastAsia="Arial" w:hAnsi="Arial"/>
          <w:sz w:val="15"/>
          <w:szCs w:val="15"/>
          <w:color w:val="auto"/>
        </w:rPr>
        <w:t>The accounts relating to the Company’s affairs shall be audited in such manner and with such financial year end as may be determined from time to time by the Company by Ordinary Resolution or failing any such determination by the Directors or failing any determination as aforesaid shall not be audited.</w:t>
      </w:r>
    </w:p>
    <w:p>
      <w:pPr>
        <w:spacing w:after="0" w:line="21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ANNUAL RETURNS AND FILINGS</w:t>
      </w:r>
    </w:p>
    <w:p>
      <w:pPr>
        <w:spacing w:after="0" w:line="218" w:lineRule="exact"/>
        <w:rPr>
          <w:sz w:val="20"/>
          <w:szCs w:val="20"/>
          <w:color w:val="auto"/>
        </w:rPr>
      </w:pPr>
    </w:p>
    <w:p>
      <w:pPr>
        <w:ind w:left="572" w:hanging="572"/>
        <w:spacing w:after="0"/>
        <w:tabs>
          <w:tab w:leader="none" w:pos="57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Board shall make the requisite annual returns and any other requisite filings in accordance with the Companies Law.</w:t>
      </w:r>
    </w:p>
    <w:p>
      <w:pPr>
        <w:spacing w:after="0" w:line="3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AUDIT</w:t>
      </w:r>
    </w:p>
    <w:p>
      <w:pPr>
        <w:spacing w:after="0" w:line="218" w:lineRule="exact"/>
        <w:rPr>
          <w:sz w:val="20"/>
          <w:szCs w:val="20"/>
          <w:color w:val="auto"/>
        </w:rPr>
      </w:pPr>
    </w:p>
    <w:p>
      <w:pPr>
        <w:ind w:left="572" w:hanging="572"/>
        <w:spacing w:after="0" w:line="268" w:lineRule="auto"/>
        <w:tabs>
          <w:tab w:leader="none" w:pos="57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Directors may appoint an Auditor of the Company who shall hold office until removed from office by a resolution of the Directors and may fix his or their remuneration.</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72"/>
          </w:cols>
          <w:pgMar w:left="248" w:top="280" w:right="279" w:bottom="1440" w:gutter="0" w:footer="0" w:header="0"/>
        </w:sectPr>
      </w:pPr>
    </w:p>
    <w:bookmarkStart w:id="270" w:name="page271"/>
    <w:bookmarkEnd w:id="270"/>
    <w:p>
      <w:pPr>
        <w:jc w:val="both"/>
        <w:ind w:left="580" w:right="240" w:hanging="572"/>
        <w:spacing w:after="0" w:line="259" w:lineRule="auto"/>
        <w:tabs>
          <w:tab w:leader="none" w:pos="5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59" w:lineRule="exact"/>
        <w:rPr>
          <w:rFonts w:ascii="Arial" w:cs="Arial" w:eastAsia="Arial" w:hAnsi="Arial"/>
          <w:sz w:val="18"/>
          <w:szCs w:val="18"/>
          <w:color w:val="auto"/>
        </w:rPr>
      </w:pPr>
    </w:p>
    <w:p>
      <w:pPr>
        <w:ind w:left="580" w:right="60" w:hanging="572"/>
        <w:spacing w:after="0" w:line="298" w:lineRule="auto"/>
        <w:tabs>
          <w:tab w:leader="none" w:pos="5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special meeting following their appointment in the case of a company which is registered with the Registrar of Companies as an exempted company, and at any time during their term of office, upon request of the Directors or any general meeting of the Members.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SEAL</w:t>
      </w:r>
    </w:p>
    <w:p>
      <w:pPr>
        <w:spacing w:after="0" w:line="218" w:lineRule="exact"/>
        <w:rPr>
          <w:sz w:val="20"/>
          <w:szCs w:val="20"/>
          <w:color w:val="auto"/>
        </w:rPr>
      </w:pPr>
    </w:p>
    <w:p>
      <w:pPr>
        <w:jc w:val="both"/>
        <w:ind w:left="580" w:right="320" w:hanging="572"/>
        <w:spacing w:after="0" w:line="298" w:lineRule="auto"/>
        <w:tabs>
          <w:tab w:leader="none" w:pos="5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Seal of the Company shall not be affixed to any instrument except by the authority of a resolution of the Board of Directors provided always that such authority may be given prior to or after the affixing of the Seal and if given after may be in general form confirming a number of affixings of the Seal. The Seal shall be affixed in the presence of any one or more persons as the Directors may appoint for the purpose and every person as aforesaid shall sign every instrument to which the Seal of the Company is so affixed in their presence.</w:t>
      </w:r>
    </w:p>
    <w:p>
      <w:pPr>
        <w:spacing w:after="0" w:line="31" w:lineRule="exact"/>
        <w:rPr>
          <w:rFonts w:ascii="Arial" w:cs="Arial" w:eastAsia="Arial" w:hAnsi="Arial"/>
          <w:sz w:val="16"/>
          <w:szCs w:val="16"/>
          <w:color w:val="auto"/>
        </w:rPr>
      </w:pPr>
    </w:p>
    <w:p>
      <w:pPr>
        <w:ind w:left="580" w:hanging="572"/>
        <w:spacing w:after="0" w:line="291" w:lineRule="auto"/>
        <w:tabs>
          <w:tab w:leader="none" w:pos="5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Company may maintain a facsimile of its Seal in such countries or places as the Directors may appoint and such facsimile Seal shall not be affixed to any instrument except by the authority of a resolution of the Board of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of the Company is so affixed in their presence of and the instrument signed by a Director or the Secretary (or an Assistant Secretary) of the Company or in the presence of any one or more persons as the Directors may appoint for the purpose.</w:t>
      </w:r>
    </w:p>
    <w:p>
      <w:pPr>
        <w:spacing w:after="0" w:line="39" w:lineRule="exact"/>
        <w:rPr>
          <w:rFonts w:ascii="Arial" w:cs="Arial" w:eastAsia="Arial" w:hAnsi="Arial"/>
          <w:sz w:val="16"/>
          <w:szCs w:val="16"/>
          <w:color w:val="auto"/>
        </w:rPr>
      </w:pPr>
    </w:p>
    <w:p>
      <w:pPr>
        <w:ind w:left="580" w:right="200" w:hanging="572"/>
        <w:spacing w:after="0" w:line="268" w:lineRule="auto"/>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Notwithstanding the foregoing, a Director shall have the authority to affix the Seal, or the facsimile Seal, to any instrument for the purposes of attesting authenticity of the matter contained therein but which does not create any obligation binding on the Company.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8" w:lineRule="exact"/>
        <w:rPr>
          <w:sz w:val="20"/>
          <w:szCs w:val="20"/>
          <w:color w:val="auto"/>
        </w:rPr>
      </w:pPr>
    </w:p>
    <w:p>
      <w:pPr>
        <w:ind w:left="580" w:right="20" w:hanging="572"/>
        <w:spacing w:after="0" w:line="306" w:lineRule="auto"/>
        <w:tabs>
          <w:tab w:leader="none" w:pos="58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Subject to Article 87, the Company may have a Chief Executive Officer, Chief Financial Officer, one or more Senior Vice Presidents appointed by the Directors. The Directors may also from time to time appoint such other officers as they consider necessary, all for such terms, at such remuneration and to perform such duties, and subject to such provisions as to disqualification and removal as the Directors from time to time subscribe.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1" w:name="page272"/>
    <w:bookmarkEnd w:id="27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CAPITALISATION OF PROFITS</w:t>
      </w:r>
    </w:p>
    <w:p>
      <w:pPr>
        <w:spacing w:after="0" w:line="218" w:lineRule="exact"/>
        <w:rPr>
          <w:sz w:val="20"/>
          <w:szCs w:val="20"/>
          <w:color w:val="auto"/>
        </w:rPr>
      </w:pPr>
    </w:p>
    <w:p>
      <w:pPr>
        <w:ind w:left="572" w:hanging="572"/>
        <w:spacing w:after="0"/>
        <w:tabs>
          <w:tab w:leader="none" w:pos="57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Subject to the Statutes and these Articles, the Board may, with the authority of an Ordinary Resolution:</w:t>
      </w:r>
    </w:p>
    <w:p>
      <w:pPr>
        <w:spacing w:after="0" w:line="90" w:lineRule="exact"/>
        <w:rPr>
          <w:rFonts w:ascii="Arial" w:cs="Arial" w:eastAsia="Arial" w:hAnsi="Arial"/>
          <w:sz w:val="18"/>
          <w:szCs w:val="18"/>
          <w:color w:val="auto"/>
        </w:rPr>
      </w:pPr>
    </w:p>
    <w:p>
      <w:pPr>
        <w:ind w:left="1132" w:right="200" w:hanging="565"/>
        <w:spacing w:after="0" w:line="268" w:lineRule="auto"/>
        <w:tabs>
          <w:tab w:leader="none" w:pos="113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resolve to capitalise an amount standing to the credit of reserves (including a share premium account, capital redemption reserve and profit and loss account), whether or not available for distribution;</w:t>
      </w:r>
    </w:p>
    <w:p>
      <w:pPr>
        <w:spacing w:after="0" w:line="50" w:lineRule="exact"/>
        <w:rPr>
          <w:rFonts w:ascii="Arial" w:cs="Arial" w:eastAsia="Arial" w:hAnsi="Arial"/>
          <w:sz w:val="18"/>
          <w:szCs w:val="18"/>
          <w:color w:val="auto"/>
        </w:rPr>
      </w:pPr>
    </w:p>
    <w:p>
      <w:pPr>
        <w:ind w:left="1132" w:right="160" w:hanging="565"/>
        <w:spacing w:after="0" w:line="268" w:lineRule="auto"/>
        <w:tabs>
          <w:tab w:leader="none" w:pos="113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appropriate the sum resolved to be capitalised to the Members in proportion to the nominal amount of shares (whether or not fully paid) held by them respectively and apply that sum on their behalf in or towards:</w:t>
      </w:r>
    </w:p>
    <w:p>
      <w:pPr>
        <w:spacing w:after="0" w:line="50" w:lineRule="exact"/>
        <w:rPr>
          <w:rFonts w:ascii="Arial" w:cs="Arial" w:eastAsia="Arial" w:hAnsi="Arial"/>
          <w:sz w:val="18"/>
          <w:szCs w:val="18"/>
          <w:color w:val="auto"/>
        </w:rPr>
      </w:pPr>
    </w:p>
    <w:p>
      <w:pPr>
        <w:ind w:left="1812" w:hanging="678"/>
        <w:spacing w:after="0"/>
        <w:tabs>
          <w:tab w:leader="none" w:pos="1812" w:val="left"/>
        </w:tabs>
        <w:numPr>
          <w:ilvl w:val="2"/>
          <w:numId w:val="240"/>
        </w:numPr>
        <w:rPr>
          <w:rFonts w:ascii="Arial" w:cs="Arial" w:eastAsia="Arial" w:hAnsi="Arial"/>
          <w:sz w:val="18"/>
          <w:szCs w:val="18"/>
          <w:color w:val="auto"/>
        </w:rPr>
      </w:pPr>
      <w:r>
        <w:rPr>
          <w:rFonts w:ascii="Arial" w:cs="Arial" w:eastAsia="Arial" w:hAnsi="Arial"/>
          <w:sz w:val="18"/>
          <w:szCs w:val="18"/>
          <w:color w:val="auto"/>
        </w:rPr>
        <w:t>paying up the amounts (if any) for the time being unpaid on shares held by them respectively; or</w:t>
      </w:r>
    </w:p>
    <w:p>
      <w:pPr>
        <w:spacing w:after="0" w:line="90" w:lineRule="exact"/>
        <w:rPr>
          <w:rFonts w:ascii="Arial" w:cs="Arial" w:eastAsia="Arial" w:hAnsi="Arial"/>
          <w:sz w:val="18"/>
          <w:szCs w:val="18"/>
          <w:color w:val="auto"/>
        </w:rPr>
      </w:pPr>
    </w:p>
    <w:p>
      <w:pPr>
        <w:ind w:left="1812" w:hanging="678"/>
        <w:spacing w:after="0"/>
        <w:tabs>
          <w:tab w:leader="none" w:pos="1812" w:val="left"/>
        </w:tabs>
        <w:numPr>
          <w:ilvl w:val="2"/>
          <w:numId w:val="240"/>
        </w:numPr>
        <w:rPr>
          <w:rFonts w:ascii="Arial" w:cs="Arial" w:eastAsia="Arial" w:hAnsi="Arial"/>
          <w:sz w:val="18"/>
          <w:szCs w:val="18"/>
          <w:color w:val="auto"/>
        </w:rPr>
      </w:pPr>
      <w:r>
        <w:rPr>
          <w:rFonts w:ascii="Arial" w:cs="Arial" w:eastAsia="Arial" w:hAnsi="Arial"/>
          <w:sz w:val="18"/>
          <w:szCs w:val="18"/>
          <w:color w:val="auto"/>
        </w:rPr>
        <w:t>paying up in full unissued shares or debentures of a nominal amount equal to that sum,</w:t>
      </w:r>
    </w:p>
    <w:p>
      <w:pPr>
        <w:spacing w:after="0" w:line="90" w:lineRule="exact"/>
        <w:rPr>
          <w:sz w:val="20"/>
          <w:szCs w:val="20"/>
          <w:color w:val="auto"/>
        </w:rPr>
      </w:pPr>
    </w:p>
    <w:p>
      <w:pPr>
        <w:ind w:left="1132"/>
        <w:spacing w:after="0" w:line="306" w:lineRule="auto"/>
        <w:rPr>
          <w:sz w:val="20"/>
          <w:szCs w:val="20"/>
          <w:color w:val="auto"/>
        </w:rPr>
      </w:pPr>
      <w:r>
        <w:rPr>
          <w:rFonts w:ascii="Arial" w:cs="Arial" w:eastAsia="Arial" w:hAnsi="Arial"/>
          <w:sz w:val="16"/>
          <w:szCs w:val="16"/>
          <w:color w:val="auto"/>
        </w:rPr>
        <w:t>and allot the shares or debentures, credited as fully paid, to the Members (or as they may direct) in those proportions, or partly in one way and partly in the other, but the share premium account, the capital redemption reserved and profits which are not available for distribution may, for the purposes of this Article, only be applied in paying up unissued shares to be allotted to Members credited as fully paid;</w:t>
      </w:r>
    </w:p>
    <w:p>
      <w:pPr>
        <w:spacing w:after="0" w:line="26" w:lineRule="exact"/>
        <w:rPr>
          <w:sz w:val="20"/>
          <w:szCs w:val="20"/>
          <w:color w:val="auto"/>
        </w:rPr>
      </w:pPr>
    </w:p>
    <w:p>
      <w:pPr>
        <w:ind w:left="1132" w:right="180" w:hanging="565"/>
        <w:spacing w:after="0" w:line="332" w:lineRule="auto"/>
        <w:tabs>
          <w:tab w:leader="none" w:pos="113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spacing w:after="0" w:line="4" w:lineRule="exact"/>
        <w:rPr>
          <w:rFonts w:ascii="Arial" w:cs="Arial" w:eastAsia="Arial" w:hAnsi="Arial"/>
          <w:sz w:val="16"/>
          <w:szCs w:val="16"/>
          <w:color w:val="auto"/>
        </w:rPr>
      </w:pPr>
    </w:p>
    <w:p>
      <w:pPr>
        <w:ind w:left="1132" w:hanging="565"/>
        <w:spacing w:after="0"/>
        <w:tabs>
          <w:tab w:leader="none" w:pos="113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authorise a person to enter (on behalf of all the Members concerned) an agreement with the Company providing for either:</w:t>
      </w:r>
    </w:p>
    <w:p>
      <w:pPr>
        <w:spacing w:after="0" w:line="90" w:lineRule="exact"/>
        <w:rPr>
          <w:rFonts w:ascii="Arial" w:cs="Arial" w:eastAsia="Arial" w:hAnsi="Arial"/>
          <w:sz w:val="18"/>
          <w:szCs w:val="18"/>
          <w:color w:val="auto"/>
        </w:rPr>
      </w:pPr>
    </w:p>
    <w:p>
      <w:pPr>
        <w:ind w:left="1812" w:right="760" w:hanging="678"/>
        <w:spacing w:after="0" w:line="268" w:lineRule="auto"/>
        <w:tabs>
          <w:tab w:leader="none" w:pos="181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allotment to the Members respectively, credited as fully paid, of shares or debentures to which they may be entitled on the capitalisation, or</w:t>
      </w:r>
    </w:p>
    <w:p>
      <w:pPr>
        <w:spacing w:after="0" w:line="50" w:lineRule="exact"/>
        <w:rPr>
          <w:rFonts w:ascii="Arial" w:cs="Arial" w:eastAsia="Arial" w:hAnsi="Arial"/>
          <w:sz w:val="18"/>
          <w:szCs w:val="18"/>
          <w:color w:val="auto"/>
        </w:rPr>
      </w:pPr>
    </w:p>
    <w:p>
      <w:pPr>
        <w:ind w:left="1812" w:right="120" w:hanging="678"/>
        <w:spacing w:after="0" w:line="268" w:lineRule="auto"/>
        <w:tabs>
          <w:tab w:leader="none" w:pos="181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payment by the Company on behalf of the Members (by the application of their respective operations of the reserves resolved to be capitalised) of the amounts or part of the amounts remaining unpaid on their existing shares,</w:t>
      </w:r>
    </w:p>
    <w:p>
      <w:pPr>
        <w:spacing w:after="0" w:line="51"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an agreement made under the authority being effective and binding on all those Members; and</w:t>
      </w:r>
    </w:p>
    <w:p>
      <w:pPr>
        <w:spacing w:after="0" w:line="90" w:lineRule="exact"/>
        <w:rPr>
          <w:sz w:val="20"/>
          <w:szCs w:val="20"/>
          <w:color w:val="auto"/>
        </w:rPr>
      </w:pPr>
    </w:p>
    <w:p>
      <w:pPr>
        <w:ind w:left="5612" w:right="5260" w:hanging="5045"/>
        <w:spacing w:after="0" w:line="408" w:lineRule="auto"/>
        <w:tabs>
          <w:tab w:leader="none" w:pos="1128" w:val="left"/>
        </w:tabs>
        <w:numPr>
          <w:ilvl w:val="0"/>
          <w:numId w:val="242"/>
        </w:numPr>
        <w:rPr>
          <w:rFonts w:ascii="Arial" w:cs="Arial" w:eastAsia="Arial" w:hAnsi="Arial"/>
          <w:sz w:val="15"/>
          <w:szCs w:val="15"/>
          <w:color w:val="auto"/>
        </w:rPr>
      </w:pPr>
      <w:r>
        <w:rPr>
          <w:rFonts w:ascii="Arial" w:cs="Arial" w:eastAsia="Arial" w:hAnsi="Arial"/>
          <w:sz w:val="15"/>
          <w:szCs w:val="15"/>
          <w:color w:val="auto"/>
        </w:rPr>
        <w:t>generally do all acts and things required to give effect to the resolution. 28</w:t>
      </w:r>
    </w:p>
    <w:p>
      <w:pPr>
        <w:sectPr>
          <w:pgSz w:w="11900" w:h="16838" w:orient="portrait"/>
          <w:cols w:equalWidth="0" w:num="1">
            <w:col w:w="11392"/>
          </w:cols>
          <w:pgMar w:left="248" w:top="274" w:right="259" w:bottom="1440" w:gutter="0" w:footer="0" w:header="0"/>
        </w:sectPr>
      </w:pPr>
    </w:p>
    <w:bookmarkStart w:id="272" w:name="page273"/>
    <w:bookmarkEnd w:id="272"/>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p>
    <w:p>
      <w:pPr>
        <w:spacing w:after="0" w:line="218" w:lineRule="exact"/>
        <w:rPr>
          <w:sz w:val="20"/>
          <w:szCs w:val="20"/>
          <w:color w:val="auto"/>
        </w:rPr>
      </w:pPr>
    </w:p>
    <w:p>
      <w:pPr>
        <w:ind w:left="572" w:hanging="572"/>
        <w:spacing w:after="0" w:line="290" w:lineRule="auto"/>
        <w:tabs>
          <w:tab w:leader="none" w:pos="57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the Member at his address as appearing in the Register of Members or, to the extent permitted by all applicable laws and regulations, by electronic means by transmitting it to any electronic number or address or website supplied by the member to the Company or by placing it on the Company’s Website provided that the Company has obtained the Member’s prior express positive confirmation in writing to receive or otherwise have made available to him notices. In the case of joint holders of a share, all notices shall be given to that one of the joint holders whose name stands first in the Register of Members in respect of the joint holding, and notice so given shall be sufficient notice to all the joint holders.</w:t>
      </w:r>
    </w:p>
    <w:p>
      <w:pPr>
        <w:spacing w:after="0" w:line="37" w:lineRule="exact"/>
        <w:rPr>
          <w:rFonts w:ascii="Arial" w:cs="Arial" w:eastAsia="Arial" w:hAnsi="Arial"/>
          <w:sz w:val="16"/>
          <w:szCs w:val="16"/>
          <w:color w:val="auto"/>
        </w:rPr>
      </w:pPr>
    </w:p>
    <w:p>
      <w:pPr>
        <w:ind w:left="572" w:hanging="572"/>
        <w:spacing w:after="0"/>
        <w:tabs>
          <w:tab w:leader="none" w:pos="57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Notices posted to addresses outside the Cayman Islands shall be forwarded by prepaid airmail.</w:t>
      </w:r>
    </w:p>
    <w:p>
      <w:pPr>
        <w:spacing w:after="0" w:line="90" w:lineRule="exact"/>
        <w:rPr>
          <w:rFonts w:ascii="Arial" w:cs="Arial" w:eastAsia="Arial" w:hAnsi="Arial"/>
          <w:sz w:val="18"/>
          <w:szCs w:val="18"/>
          <w:color w:val="auto"/>
        </w:rPr>
      </w:pPr>
    </w:p>
    <w:p>
      <w:pPr>
        <w:ind w:left="572" w:right="20" w:hanging="572"/>
        <w:spacing w:after="0" w:line="268" w:lineRule="auto"/>
        <w:tabs>
          <w:tab w:leader="none" w:pos="57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Member present, either personally or by proxy, at any meeting of the Company shall for all purposes be deemed to have received due notice of such meeting and, where requisite, of the purposes for which such meeting was convened.</w:t>
      </w:r>
    </w:p>
    <w:p>
      <w:pPr>
        <w:spacing w:after="0" w:line="50" w:lineRule="exact"/>
        <w:rPr>
          <w:rFonts w:ascii="Arial" w:cs="Arial" w:eastAsia="Arial" w:hAnsi="Arial"/>
          <w:sz w:val="18"/>
          <w:szCs w:val="18"/>
          <w:color w:val="auto"/>
        </w:rPr>
      </w:pPr>
    </w:p>
    <w:p>
      <w:pPr>
        <w:ind w:left="572" w:right="20" w:hanging="572"/>
        <w:spacing w:after="0" w:line="302" w:lineRule="auto"/>
        <w:tabs>
          <w:tab w:leader="none" w:pos="572" w:val="left"/>
        </w:tabs>
        <w:numPr>
          <w:ilvl w:val="0"/>
          <w:numId w:val="243"/>
        </w:numPr>
        <w:rPr>
          <w:rFonts w:ascii="Arial" w:cs="Arial" w:eastAsia="Arial" w:hAnsi="Arial"/>
          <w:sz w:val="15"/>
          <w:szCs w:val="15"/>
          <w:color w:val="auto"/>
        </w:rPr>
      </w:pPr>
      <w:r>
        <w:rPr>
          <w:rFonts w:ascii="Arial" w:cs="Arial" w:eastAsia="Arial" w:hAnsi="Arial"/>
          <w:sz w:val="15"/>
          <w:szCs w:val="15"/>
          <w:color w:val="auto"/>
        </w:rPr>
        <w:t>Any notice or other document, if served by (a) post, shall be deemed to have been served five days after the time when the letter containing the same is posted and if served by courier, shall be deemed to have been served five days after the time when the letter containing the same is delivered to the courier (in proving such service it shall be sufficient to prove that the letter containing the notice or document was properly addressed and duly posted or delivered to the courier), or (b) facsimile, shall be deemed to have been served upon confirmation of receipt, or (c) recognised delivery service, shall be deemed to have been served 48 hours after the time when the letter containing the same is delivered to the courier service and in proving such service it shall be sufficient to provide that the letter containing the notice or documents was properly addressed and duly posted or delivered to the courier or</w:t>
      </w:r>
    </w:p>
    <w:p>
      <w:pPr>
        <w:ind w:left="572" w:right="680"/>
        <w:spacing w:after="0" w:line="261" w:lineRule="auto"/>
        <w:rPr>
          <w:rFonts w:ascii="Arial" w:cs="Arial" w:eastAsia="Arial" w:hAnsi="Arial"/>
          <w:sz w:val="15"/>
          <w:szCs w:val="15"/>
          <w:color w:val="auto"/>
        </w:rPr>
      </w:pPr>
      <w:r>
        <w:rPr>
          <w:rFonts w:ascii="Arial" w:cs="Arial" w:eastAsia="Arial" w:hAnsi="Arial"/>
          <w:sz w:val="18"/>
          <w:szCs w:val="18"/>
          <w:color w:val="auto"/>
        </w:rPr>
        <w:t>(d) electronic means as provided herein shall be deemed to have been served and delivered on the day following that on which it is successfully transmitted or at such later time as may be prescribed by any applicable laws or regulations.</w:t>
      </w:r>
    </w:p>
    <w:p>
      <w:pPr>
        <w:spacing w:after="0" w:line="56" w:lineRule="exact"/>
        <w:rPr>
          <w:rFonts w:ascii="Arial" w:cs="Arial" w:eastAsia="Arial" w:hAnsi="Arial"/>
          <w:sz w:val="15"/>
          <w:szCs w:val="15"/>
          <w:color w:val="auto"/>
        </w:rPr>
      </w:pPr>
    </w:p>
    <w:p>
      <w:pPr>
        <w:ind w:left="572" w:right="40" w:hanging="572"/>
        <w:spacing w:after="0" w:line="294" w:lineRule="auto"/>
        <w:tabs>
          <w:tab w:leader="none" w:pos="57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notice or document delivered or sent to any Member in accordance with the terms of these Articles shall notwithstanding that such Member be then dead or bankrupt, and whether or not the Company has notice of his death or bankruptcy, be deemed to have been duly served in respect of any share registered in the name of such Member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p>
      <w:pPr>
        <w:spacing w:after="0" w:line="10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32"/>
          </w:cols>
          <w:pgMar w:left="248" w:top="274" w:right="319" w:bottom="1440" w:gutter="0" w:footer="0" w:header="0"/>
        </w:sectPr>
      </w:pPr>
    </w:p>
    <w:bookmarkStart w:id="273" w:name="page274"/>
    <w:bookmarkEnd w:id="273"/>
    <w:p>
      <w:pPr>
        <w:ind w:left="572" w:hanging="572"/>
        <w:spacing w:after="0"/>
        <w:tabs>
          <w:tab w:leader="none" w:pos="572"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 every general meeting shall be given to:</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all Members who have supplied to the Company an address for the giving of notices to them; and</w:t>
      </w:r>
    </w:p>
    <w:p>
      <w:pPr>
        <w:spacing w:after="0" w:line="90" w:lineRule="exact"/>
        <w:rPr>
          <w:rFonts w:ascii="Arial" w:cs="Arial" w:eastAsia="Arial" w:hAnsi="Arial"/>
          <w:sz w:val="18"/>
          <w:szCs w:val="18"/>
          <w:color w:val="auto"/>
        </w:rPr>
      </w:pPr>
    </w:p>
    <w:p>
      <w:pPr>
        <w:ind w:left="1132" w:right="60" w:hanging="565"/>
        <w:spacing w:after="0" w:line="268" w:lineRule="auto"/>
        <w:tabs>
          <w:tab w:leader="none" w:pos="113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every person entitled to a share in consequence of the death or bankruptcy of a Member, who but for his death or bankruptcy would be entitled to receive notice of the meeting.</w:t>
      </w:r>
    </w:p>
    <w:p>
      <w:pPr>
        <w:spacing w:after="0" w:line="51" w:lineRule="exact"/>
        <w:rPr>
          <w:sz w:val="20"/>
          <w:szCs w:val="20"/>
          <w:color w:val="auto"/>
        </w:rPr>
      </w:pPr>
    </w:p>
    <w:p>
      <w:pPr>
        <w:ind w:left="572"/>
        <w:spacing w:after="0"/>
        <w:rPr>
          <w:sz w:val="20"/>
          <w:szCs w:val="20"/>
          <w:color w:val="auto"/>
        </w:rPr>
      </w:pPr>
      <w:r>
        <w:rPr>
          <w:rFonts w:ascii="Arial" w:cs="Arial" w:eastAsia="Arial" w:hAnsi="Arial"/>
          <w:sz w:val="18"/>
          <w:szCs w:val="18"/>
          <w:color w:val="auto"/>
        </w:rPr>
        <w:t>No other person shall be entitled to receive notices of general meetings.</w:t>
      </w:r>
    </w:p>
    <w:p>
      <w:pPr>
        <w:spacing w:after="0" w:line="3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INFORMATION</w:t>
      </w:r>
    </w:p>
    <w:p>
      <w:pPr>
        <w:spacing w:after="0" w:line="218" w:lineRule="exact"/>
        <w:rPr>
          <w:sz w:val="20"/>
          <w:szCs w:val="20"/>
          <w:color w:val="auto"/>
        </w:rPr>
      </w:pPr>
    </w:p>
    <w:p>
      <w:pPr>
        <w:ind w:left="572" w:hanging="572"/>
        <w:spacing w:after="0" w:line="259" w:lineRule="auto"/>
        <w:tabs>
          <w:tab w:leader="none" w:pos="57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59" w:lineRule="exact"/>
        <w:rPr>
          <w:rFonts w:ascii="Arial" w:cs="Arial" w:eastAsia="Arial" w:hAnsi="Arial"/>
          <w:sz w:val="18"/>
          <w:szCs w:val="18"/>
          <w:color w:val="auto"/>
        </w:rPr>
      </w:pPr>
    </w:p>
    <w:p>
      <w:pPr>
        <w:ind w:left="572" w:right="220" w:hanging="572"/>
        <w:spacing w:after="0" w:line="332" w:lineRule="auto"/>
        <w:tabs>
          <w:tab w:leader="none" w:pos="57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Board shall be entitled to release or disclose any information in its possession, custody or control regarding the Company or its affairs to any of its members including, without limitation, information contained in the Register of Members and transfer books of the Company.</w:t>
      </w: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INDEMNITY</w:t>
      </w:r>
    </w:p>
    <w:p>
      <w:pPr>
        <w:spacing w:after="0" w:line="218" w:lineRule="exact"/>
        <w:rPr>
          <w:sz w:val="20"/>
          <w:szCs w:val="20"/>
          <w:color w:val="auto"/>
        </w:rPr>
      </w:pPr>
    </w:p>
    <w:p>
      <w:pPr>
        <w:ind w:left="572" w:right="40" w:hanging="572"/>
        <w:spacing w:after="0" w:line="291" w:lineRule="auto"/>
        <w:tabs>
          <w:tab w:leader="none" w:pos="57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Every Director (including for the purposes of this Article any Alternate Director appointed pursuant to the provisions of these Articles) and officer of the Company for the time being and from time to time shall be indemnified and secured harmless out of the assets and funds of the Company against all actions, proceedings, costs, charges, expenses, losses, damages or liabilities incurred or sustained by him in connection with the execution or discharge of his duties, powers, authorities or discretions as a Director or officer of the Company, including without prejudice to the generality of the foregoing, any costs, expenses, losses or liabilities incurred by him in defending (whether successfully or otherwise) any civil proceedings concerning the Company or its affairs in any court whether in the Cayman Islands or elsewhere.</w:t>
      </w:r>
    </w:p>
    <w:p>
      <w:pPr>
        <w:spacing w:after="0" w:line="39" w:lineRule="exact"/>
        <w:rPr>
          <w:rFonts w:ascii="Arial" w:cs="Arial" w:eastAsia="Arial" w:hAnsi="Arial"/>
          <w:sz w:val="16"/>
          <w:szCs w:val="16"/>
          <w:color w:val="auto"/>
        </w:rPr>
      </w:pPr>
    </w:p>
    <w:p>
      <w:pPr>
        <w:ind w:left="572" w:right="120" w:hanging="572"/>
        <w:spacing w:after="0" w:line="268" w:lineRule="auto"/>
        <w:tabs>
          <w:tab w:leader="none" w:pos="5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such Director or officer of the Company shall be liable to the Company for any loss or damage unless such liability arises through the willful neglect or default of such Director or officer.</w:t>
      </w:r>
    </w:p>
    <w:p>
      <w:pPr>
        <w:spacing w:after="0" w:line="2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FINANCIAL YEAR</w:t>
      </w:r>
    </w:p>
    <w:p>
      <w:pPr>
        <w:spacing w:after="0" w:line="218" w:lineRule="exact"/>
        <w:rPr>
          <w:sz w:val="20"/>
          <w:szCs w:val="20"/>
          <w:color w:val="auto"/>
        </w:rPr>
      </w:pPr>
    </w:p>
    <w:p>
      <w:pPr>
        <w:jc w:val="center"/>
        <w:ind w:left="5612" w:right="220" w:hanging="5612"/>
        <w:spacing w:after="0" w:line="316" w:lineRule="auto"/>
        <w:tabs>
          <w:tab w:leader="none" w:pos="56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Unless the Directors otherwise prescribe, the financial year of the Company shall end on May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in each year and shall begin on June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in each year. 30</w:t>
      </w:r>
    </w:p>
    <w:p>
      <w:pPr>
        <w:sectPr>
          <w:pgSz w:w="11900" w:h="16838" w:orient="portrait"/>
          <w:cols w:equalWidth="0" w:num="1">
            <w:col w:w="11392"/>
          </w:cols>
          <w:pgMar w:left="248" w:top="280" w:right="259" w:bottom="1440" w:gutter="0" w:footer="0" w:header="0"/>
        </w:sectPr>
      </w:pPr>
    </w:p>
    <w:bookmarkStart w:id="274" w:name="page275"/>
    <w:bookmarkEnd w:id="274"/>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NON-RECOGNITION OF TRUSTS</w:t>
      </w:r>
    </w:p>
    <w:p>
      <w:pPr>
        <w:spacing w:after="0" w:line="218" w:lineRule="exact"/>
        <w:rPr>
          <w:sz w:val="20"/>
          <w:szCs w:val="20"/>
          <w:color w:val="auto"/>
        </w:rPr>
      </w:pPr>
    </w:p>
    <w:p>
      <w:pPr>
        <w:jc w:val="both"/>
        <w:ind w:left="572" w:hanging="572"/>
        <w:spacing w:after="0" w:line="306" w:lineRule="auto"/>
        <w:tabs>
          <w:tab w:leader="none" w:pos="572" w:val="left"/>
        </w:tabs>
        <w:numPr>
          <w:ilvl w:val="0"/>
          <w:numId w:val="248"/>
        </w:numPr>
        <w:rPr>
          <w:rFonts w:ascii="Arial" w:cs="Arial" w:eastAsia="Arial" w:hAnsi="Arial"/>
          <w:sz w:val="16"/>
          <w:szCs w:val="16"/>
          <w:color w:val="auto"/>
        </w:rPr>
      </w:pPr>
      <w:r>
        <w:rPr>
          <w:rFonts w:ascii="Arial" w:cs="Arial" w:eastAsia="Arial" w:hAnsi="Arial"/>
          <w:sz w:val="16"/>
          <w:szCs w:val="16"/>
          <w:color w:val="auto"/>
        </w:rPr>
        <w:t>No person shall be recognised by the Company as holding any share upon any trust and the Company shall not, unless required by law, be bound by or be compelled in any way to recognise (even when having notice thereof) any equitable, contingent or future interest in any of its shares or any other rights in respect thereof except an absolute right to the entirety thereof in each Member registered in the Register of Members.</w:t>
      </w:r>
    </w:p>
    <w:p>
      <w:pPr>
        <w:spacing w:after="0" w:line="26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WINDING UP</w:t>
      </w:r>
    </w:p>
    <w:p>
      <w:pPr>
        <w:spacing w:after="0" w:line="218" w:lineRule="exact"/>
        <w:rPr>
          <w:sz w:val="20"/>
          <w:szCs w:val="20"/>
          <w:color w:val="auto"/>
        </w:rPr>
      </w:pPr>
    </w:p>
    <w:p>
      <w:pPr>
        <w:ind w:left="572" w:hanging="572"/>
        <w:spacing w:after="0" w:line="291" w:lineRule="auto"/>
        <w:tabs>
          <w:tab w:leader="none" w:pos="572" w:val="left"/>
        </w:tabs>
        <w:numPr>
          <w:ilvl w:val="0"/>
          <w:numId w:val="249"/>
        </w:numPr>
        <w:rPr>
          <w:rFonts w:ascii="Arial" w:cs="Arial" w:eastAsia="Arial" w:hAnsi="Arial"/>
          <w:sz w:val="16"/>
          <w:szCs w:val="16"/>
          <w:color w:val="auto"/>
        </w:rPr>
      </w:pPr>
      <w:r>
        <w:rPr>
          <w:rFonts w:ascii="Arial" w:cs="Arial" w:eastAsia="Arial" w:hAnsi="Arial"/>
          <w:sz w:val="16"/>
          <w:szCs w:val="16"/>
          <w:color w:val="auto"/>
        </w:rPr>
        <w:t>Subject to these Articles, if the Company shall be wound up the liquidator may, with the sanction of an Ordinary Resolution of the Company divide amongst the Members, on a pro rata basis,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w:t>
      </w:r>
    </w:p>
    <w:p>
      <w:pPr>
        <w:spacing w:after="0" w:line="276"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AMENDMENT OF MEMORANDUM AND ARTICLES OF ASSOCIATION AND NAME OF COMPANY</w:t>
      </w:r>
    </w:p>
    <w:p>
      <w:pPr>
        <w:spacing w:after="0" w:line="218" w:lineRule="exact"/>
        <w:rPr>
          <w:sz w:val="20"/>
          <w:szCs w:val="20"/>
          <w:color w:val="auto"/>
        </w:rPr>
      </w:pPr>
    </w:p>
    <w:p>
      <w:pPr>
        <w:ind w:left="572" w:right="520" w:hanging="572"/>
        <w:spacing w:after="0" w:line="332" w:lineRule="auto"/>
        <w:tabs>
          <w:tab w:leader="none" w:pos="57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Subject to the Companies Law and these Articles, the Company may at any time and from time to time by Special Resolution alter or amend these Articles or the Memorandum of Association of the Company, in whole or in part, or change the name of the Company.</w:t>
      </w: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REGISTRATION BY WAY OF CONTINUATION</w:t>
      </w:r>
    </w:p>
    <w:p>
      <w:pPr>
        <w:spacing w:after="0" w:line="218" w:lineRule="exact"/>
        <w:rPr>
          <w:sz w:val="20"/>
          <w:szCs w:val="20"/>
          <w:color w:val="auto"/>
        </w:rPr>
      </w:pPr>
    </w:p>
    <w:p>
      <w:pPr>
        <w:ind w:left="572" w:right="60" w:hanging="572"/>
        <w:spacing w:after="0" w:line="294" w:lineRule="auto"/>
        <w:tabs>
          <w:tab w:leader="none" w:pos="57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Subject to these Articles, 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72"/>
          </w:cols>
          <w:pgMar w:left="248" w:top="274" w:right="27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135255</wp:posOffset>
            </wp:positionV>
            <wp:extent cx="724662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FORM OF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212090</wp:posOffset>
            </wp:positionV>
            <wp:extent cx="724662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as Issuer</w:t>
      </w:r>
    </w:p>
    <w:p>
      <w:pPr>
        <w:spacing w:after="0" w:line="16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as Depositary,</w:t>
      </w:r>
    </w:p>
    <w:p>
      <w:pPr>
        <w:spacing w:after="0" w:line="16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THE HOLDERS AND BENEFICIAL OWNERS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AMERICAN DEPOSITARY SHARES EVIDENCED BY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AMERICAN DEPOSITARY RECEIPTS 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204470</wp:posOffset>
            </wp:positionV>
            <wp:extent cx="724662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780"/>
        <w:spacing w:after="0"/>
        <w:tabs>
          <w:tab w:leader="none" w:pos="478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5"/>
          <w:szCs w:val="15"/>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208280</wp:posOffset>
            </wp:positionV>
            <wp:extent cx="724662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76" w:name="page277"/>
    <w:bookmarkEnd w:id="27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 AGREEMENT</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DEPOSIT AGREEMENT</w:t>
      </w:r>
      <w:r>
        <w:rPr>
          <w:rFonts w:ascii="Arial" w:cs="Arial" w:eastAsia="Arial" w:hAnsi="Arial"/>
          <w:sz w:val="16"/>
          <w:szCs w:val="16"/>
          <w:color w:val="auto"/>
        </w:rPr>
        <w:t>, dated as of , 2006 by and among (i) New Oriental Education &amp; Technology Group Inc., a company incorporated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Cayman Islands, and its successors (the “Company”), (ii) Deutsche Bank Trust Company Americas, an indirect wholly owned subsidiary of Deutsche Bank A.G., acting in its capacity as depositary, and any successor depositary hereunder (the “Depositary”), and (iii) all Holders and Beneficial Owners of American Depositary Shares evidenced by American Depositary Receipts issued hereunder (all such capitalized terms as hereinafter defined).</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 I T N E S S E T H T H A T:</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establish an ADR facility with the Depositary to provide for the deposit of the Shares and the creation of American</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Shares representing the Shares so deposited;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this Deposit Agreement;</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American Depositary Receipts evidencing the American Depositary Shares issued pursuant to the terms of this Deposit Agreement are to</w:t>
      </w:r>
      <w:r>
        <w:rPr>
          <w:rFonts w:ascii="Arial" w:cs="Arial" w:eastAsia="Arial" w:hAnsi="Arial"/>
          <w:sz w:val="18"/>
          <w:szCs w:val="18"/>
          <w:b w:val="1"/>
          <w:bCs w:val="1"/>
          <w:color w:val="auto"/>
        </w:rPr>
        <w:t xml:space="preserve"> </w:t>
      </w:r>
      <w:r>
        <w:rPr>
          <w:rFonts w:ascii="Arial" w:cs="Arial" w:eastAsia="Arial" w:hAnsi="Arial"/>
          <w:sz w:val="18"/>
          <w:szCs w:val="18"/>
          <w:color w:val="auto"/>
        </w:rPr>
        <w:t>be substantially in the form of Exhibit A annexed hereto, with appropriate insertions, modifications and omissions, as hereinafter provided in this Deposit Agreement;</w:t>
      </w:r>
    </w:p>
    <w:p>
      <w:pPr>
        <w:spacing w:after="0" w:line="132"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American Depositary Shares to be issued pursuant to the terms of this Deposit Agreement are listed on The New York 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Inc; and</w:t>
      </w:r>
    </w:p>
    <w:p>
      <w:pPr>
        <w:spacing w:after="0" w:line="120"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(or an authorized committee thereof) has duly approved the establishment of an ADR facility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set forth in this Deposit Agreement, the execution and delivery of this Deposit Agreement on behalf of the Company, and the actions of the Company and the transactions contemplated herein.</w:t>
      </w:r>
    </w:p>
    <w:p>
      <w:pPr>
        <w:spacing w:after="0" w:line="132"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8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capitalized terms used, but not otherwise defined, herein shall have the meanings set forth below, unless otherwise clearly indicated:</w:t>
      </w:r>
    </w:p>
    <w:p>
      <w:pPr>
        <w:spacing w:after="0" w:line="90" w:lineRule="exact"/>
        <w:rPr>
          <w:sz w:val="20"/>
          <w:szCs w:val="20"/>
          <w:color w:val="auto"/>
        </w:rPr>
      </w:pPr>
    </w:p>
    <w:p>
      <w:pPr>
        <w:jc w:val="center"/>
        <w:ind w:left="380" w:right="320"/>
        <w:spacing w:after="0" w:line="440" w:lineRule="auto"/>
        <w:rPr>
          <w:sz w:val="20"/>
          <w:szCs w:val="20"/>
          <w:color w:val="auto"/>
        </w:rPr>
      </w:pPr>
      <w:r>
        <w:rPr>
          <w:rFonts w:ascii="Arial" w:cs="Arial" w:eastAsia="Arial" w:hAnsi="Arial"/>
          <w:sz w:val="18"/>
          <w:szCs w:val="18"/>
          <w:color w:val="auto"/>
        </w:rPr>
        <w:t>SECTION 1.1 “</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assigned to such term by the Commission under Regulation C promulgated under the Securities Act. 2</w:t>
      </w:r>
    </w:p>
    <w:p>
      <w:pPr>
        <w:sectPr>
          <w:pgSz w:w="11900" w:h="16838" w:orient="portrait"/>
          <w:cols w:equalWidth="0" w:num="1">
            <w:col w:w="11340"/>
          </w:cols>
          <w:pgMar w:left="240" w:top="274" w:right="319" w:bottom="1440" w:gutter="0" w:footer="0" w:header="0"/>
        </w:sectPr>
      </w:pPr>
    </w:p>
    <w:bookmarkStart w:id="277" w:name="page278"/>
    <w:bookmarkEnd w:id="277"/>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 “</w:t>
      </w:r>
      <w:r>
        <w:rPr>
          <w:rFonts w:ascii="Arial" w:cs="Arial" w:eastAsia="Arial" w:hAnsi="Arial"/>
          <w:sz w:val="18"/>
          <w:szCs w:val="18"/>
          <w:u w:val="single" w:color="auto"/>
          <w:color w:val="auto"/>
        </w:rPr>
        <w:t>Agent</w:t>
      </w:r>
      <w:r>
        <w:rPr>
          <w:rFonts w:ascii="Arial" w:cs="Arial" w:eastAsia="Arial" w:hAnsi="Arial"/>
          <w:sz w:val="18"/>
          <w:szCs w:val="18"/>
          <w:color w:val="auto"/>
        </w:rPr>
        <w:t>” shall mean such entity or entities as the Depositary may appoint under Section 7.8, including the Custodian or any successor or addition thereto.</w:t>
      </w:r>
    </w:p>
    <w:p>
      <w:pPr>
        <w:spacing w:after="0" w:line="132"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SECTION 1.3 “</w:t>
      </w:r>
      <w:r>
        <w:rPr>
          <w:rFonts w:ascii="Arial" w:cs="Arial" w:eastAsia="Arial" w:hAnsi="Arial"/>
          <w:sz w:val="15"/>
          <w:szCs w:val="15"/>
          <w:u w:val="single" w:color="auto"/>
          <w:color w:val="auto"/>
        </w:rPr>
        <w:t>American Depositary Share(s)” and “ADS(s</w:t>
      </w:r>
      <w:r>
        <w:rPr>
          <w:rFonts w:ascii="Arial" w:cs="Arial" w:eastAsia="Arial" w:hAnsi="Arial"/>
          <w:sz w:val="15"/>
          <w:szCs w:val="15"/>
          <w:color w:val="auto"/>
        </w:rPr>
        <w:t xml:space="preserve">)” shall mean the securities representing the rights and interests in the Deposited Securities granted to the Holders and Beneficial Owners pursuant to the terms and conditions of this Deposit Agreement and evidenced by the American Depositary Receipts issued hereunder. Each American Depositary Share shall represent the right to receive </w:t>
      </w:r>
      <w:r>
        <w:rPr>
          <w:rFonts w:ascii="Arial" w:cs="Arial" w:eastAsia="Arial" w:hAnsi="Arial"/>
          <w:sz w:val="15"/>
          <w:szCs w:val="15"/>
          <w:b w:val="1"/>
          <w:bCs w:val="1"/>
          <w:color w:val="auto"/>
        </w:rPr>
        <w:t>[•]</w:t>
      </w:r>
      <w:r>
        <w:rPr>
          <w:rFonts w:ascii="Arial" w:cs="Arial" w:eastAsia="Arial" w:hAnsi="Arial"/>
          <w:sz w:val="15"/>
          <w:szCs w:val="15"/>
          <w:color w:val="auto"/>
        </w:rPr>
        <w:t xml:space="preserve"> Shares, until there shall occur a distribution upon Deposited Securities referred to in Section 4.2 or a change in Deposited Securities referred to in Section 4.9 with respect to which additional American Depositary Receipts are not executed and delivered, and thereafter each American Depositary Share shall represent the Shares or Deposited Securities specified in such Sections.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 “</w:t>
      </w:r>
      <w:r>
        <w:rPr>
          <w:rFonts w:ascii="Arial" w:cs="Arial" w:eastAsia="Arial" w:hAnsi="Arial"/>
          <w:sz w:val="18"/>
          <w:szCs w:val="18"/>
          <w:u w:val="single" w:color="auto"/>
          <w:color w:val="auto"/>
        </w:rPr>
        <w:t>ADS Record Date</w:t>
      </w:r>
      <w:r>
        <w:rPr>
          <w:rFonts w:ascii="Arial" w:cs="Arial" w:eastAsia="Arial" w:hAnsi="Arial"/>
          <w:sz w:val="18"/>
          <w:szCs w:val="18"/>
          <w:color w:val="auto"/>
        </w:rPr>
        <w:t>” shall have the meaning given to such term in Section 4.7.</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SECTION 1.5 “</w:t>
      </w:r>
      <w:r>
        <w:rPr>
          <w:rFonts w:ascii="Arial" w:cs="Arial" w:eastAsia="Arial" w:hAnsi="Arial"/>
          <w:sz w:val="18"/>
          <w:szCs w:val="18"/>
          <w:u w:val="single" w:color="auto"/>
          <w:color w:val="auto"/>
        </w:rPr>
        <w:t>Beneficial Owner</w:t>
      </w:r>
      <w:r>
        <w:rPr>
          <w:rFonts w:ascii="Arial" w:cs="Arial" w:eastAsia="Arial" w:hAnsi="Arial"/>
          <w:sz w:val="18"/>
          <w:szCs w:val="18"/>
          <w:color w:val="auto"/>
        </w:rPr>
        <w:t>” shall mean as to any ADS, any person or entity having a beneficial interest in any ADSs. A Beneficial Owner need not be the Holder of the ADR evidencing such ADSs. A Beneficial Owner may exercise any rights or receive any benefits hereunder solely through the Holder of the ADR(s) evidencing the ADSs in which such Beneficial Owner has an interest.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1.6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each Monday, Tuesday, Wednesday, Thursday and Friday which is not (a) a day on which banking institutions in the Borough of Manhattan, The City of New York are authorized or obligated by law or executive order to close and (b) a day on which the market(s) in which Receipts are traded are closed.</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SECTION 1.7 “</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 in the United States.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SECTION 1.8 “</w:t>
      </w:r>
      <w:r>
        <w:rPr>
          <w:rFonts w:ascii="Arial" w:cs="Arial" w:eastAsia="Arial" w:hAnsi="Arial"/>
          <w:sz w:val="18"/>
          <w:szCs w:val="18"/>
          <w:u w:val="single" w:color="auto"/>
          <w:color w:val="auto"/>
        </w:rPr>
        <w:t>Company</w:t>
      </w:r>
      <w:r>
        <w:rPr>
          <w:rFonts w:ascii="Arial" w:cs="Arial" w:eastAsia="Arial" w:hAnsi="Arial"/>
          <w:sz w:val="18"/>
          <w:szCs w:val="18"/>
          <w:color w:val="auto"/>
        </w:rPr>
        <w:t>” shall mean New Oriental Education &amp; Technology Group Inc., a company incorporated and existing under the laws of laws of the Cayman Islands, and its successors.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1.9 “</w:t>
      </w:r>
      <w:r>
        <w:rPr>
          <w:rFonts w:ascii="Arial" w:cs="Arial" w:eastAsia="Arial" w:hAnsi="Arial"/>
          <w:sz w:val="16"/>
          <w:szCs w:val="16"/>
          <w:u w:val="single" w:color="auto"/>
          <w:color w:val="auto"/>
        </w:rPr>
        <w:t>Custodian</w:t>
      </w:r>
      <w:r>
        <w:rPr>
          <w:rFonts w:ascii="Arial" w:cs="Arial" w:eastAsia="Arial" w:hAnsi="Arial"/>
          <w:sz w:val="16"/>
          <w:szCs w:val="16"/>
          <w:color w:val="auto"/>
        </w:rPr>
        <w:t>” shall mean, as of the date hereof, Deutsche Bank AG, Hong Kong Branch,, having its principal office at 52/F Cheung Kong Center, 2 Queens Road, Central, Hong Kong S.A.R., People’s Republic of China., as the custodian for the purposes of this Deposit Agreement, and any other firm or corporation which may hereinafter be appointed by the Depositary pursuant to the terms of Section 5.5 as a successor or an additional custodian or custodians hereunder, as the context shall require. The term “Custodian” shall mean all custodians, collectively.</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1.10 “</w:t>
      </w:r>
      <w:r>
        <w:rPr>
          <w:rFonts w:ascii="Arial" w:cs="Arial" w:eastAsia="Arial" w:hAnsi="Arial"/>
          <w:sz w:val="18"/>
          <w:szCs w:val="18"/>
          <w:u w:val="single" w:color="auto"/>
          <w:color w:val="auto"/>
        </w:rPr>
        <w:t>Deliver” and “Delivery</w:t>
      </w:r>
      <w:r>
        <w:rPr>
          <w:rFonts w:ascii="Arial" w:cs="Arial" w:eastAsia="Arial" w:hAnsi="Arial"/>
          <w:sz w:val="18"/>
          <w:szCs w:val="18"/>
          <w:color w:val="auto"/>
        </w:rPr>
        <w:t>” shall mean, when used in respect of American Depositary Shares, Receipts, Deposited Securities and Shares, the physical delivery of the certificate representing such security, or the electronic delivery of such security by means of book-entry transfer, as appropriate, including, without limitation, through DRS/Profile. With respect to DRS/Profile ADRs,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w:t>
      </w:r>
      <w:r>
        <w:rPr>
          <w:rFonts w:ascii="Arial" w:cs="Arial" w:eastAsia="Arial" w:hAnsi="Arial"/>
          <w:sz w:val="18"/>
          <w:szCs w:val="18"/>
          <w:u w:val="single" w:color="auto"/>
          <w:color w:val="auto"/>
        </w:rPr>
        <w:t>execute</w:t>
      </w:r>
      <w:r>
        <w:rPr>
          <w:rFonts w:ascii="Arial" w:cs="Arial" w:eastAsia="Arial" w:hAnsi="Arial"/>
          <w:sz w:val="18"/>
          <w:szCs w:val="18"/>
          <w:color w:val="auto"/>
        </w:rPr>
        <w:t>”, “</w:t>
      </w:r>
      <w:r>
        <w:rPr>
          <w:rFonts w:ascii="Arial" w:cs="Arial" w:eastAsia="Arial" w:hAnsi="Arial"/>
          <w:sz w:val="18"/>
          <w:szCs w:val="18"/>
          <w:u w:val="single" w:color="auto"/>
          <w:color w:val="auto"/>
        </w:rPr>
        <w:t>issue</w:t>
      </w:r>
      <w:r>
        <w:rPr>
          <w:rFonts w:ascii="Arial" w:cs="Arial" w:eastAsia="Arial" w:hAnsi="Arial"/>
          <w:sz w:val="18"/>
          <w:szCs w:val="18"/>
          <w:color w:val="auto"/>
        </w:rPr>
        <w:t>”, “</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surrender</w:t>
      </w:r>
      <w:r>
        <w:rPr>
          <w:rFonts w:ascii="Arial" w:cs="Arial" w:eastAsia="Arial" w:hAnsi="Arial"/>
          <w:sz w:val="18"/>
          <w:szCs w:val="18"/>
          <w:color w:val="auto"/>
        </w:rPr>
        <w:t>”, “</w:t>
      </w:r>
      <w:r>
        <w:rPr>
          <w:rFonts w:ascii="Arial" w:cs="Arial" w:eastAsia="Arial" w:hAnsi="Arial"/>
          <w:sz w:val="18"/>
          <w:szCs w:val="18"/>
          <w:u w:val="single" w:color="auto"/>
          <w:color w:val="auto"/>
        </w:rPr>
        <w:t>transfer</w:t>
      </w:r>
      <w:r>
        <w:rPr>
          <w:rFonts w:ascii="Arial" w:cs="Arial" w:eastAsia="Arial" w:hAnsi="Arial"/>
          <w:sz w:val="18"/>
          <w:szCs w:val="18"/>
          <w:color w:val="auto"/>
        </w:rPr>
        <w:t>” or “</w:t>
      </w:r>
      <w:r>
        <w:rPr>
          <w:rFonts w:ascii="Arial" w:cs="Arial" w:eastAsia="Arial" w:hAnsi="Arial"/>
          <w:sz w:val="18"/>
          <w:szCs w:val="18"/>
          <w:u w:val="single" w:color="auto"/>
          <w:color w:val="auto"/>
        </w:rPr>
        <w:t>cancel</w:t>
      </w:r>
      <w:r>
        <w:rPr>
          <w:rFonts w:ascii="Arial" w:cs="Arial" w:eastAsia="Arial" w:hAnsi="Arial"/>
          <w:sz w:val="18"/>
          <w:szCs w:val="18"/>
          <w:color w:val="auto"/>
        </w:rPr>
        <w:t>” refer to applicable entries or movements to or within DRS/Profile.</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SECTION 1.11 “</w:t>
      </w:r>
      <w:r>
        <w:rPr>
          <w:rFonts w:ascii="Arial" w:cs="Arial" w:eastAsia="Arial" w:hAnsi="Arial"/>
          <w:sz w:val="18"/>
          <w:szCs w:val="18"/>
          <w:u w:val="single" w:color="auto"/>
          <w:color w:val="auto"/>
        </w:rPr>
        <w:t>Deposit Agreement</w:t>
      </w:r>
      <w:r>
        <w:rPr>
          <w:rFonts w:ascii="Arial" w:cs="Arial" w:eastAsia="Arial" w:hAnsi="Arial"/>
          <w:sz w:val="18"/>
          <w:szCs w:val="18"/>
          <w:color w:val="auto"/>
        </w:rPr>
        <w:t>” shall mean this Deposit Agreement and all exhibits hereto, as the same may from time to time be amended and supplemented in accordance with the terms hereof.</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SECTION 1.12 “</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Deutsche Bank Trust Company Americas, an indirect wholly owned subsidiary of Deutsche Bank A.G., in its capacity as depositary under the terms of this Deposit Agreement, and any successor depositary hereunder.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1.13 “</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as of any time shall mean Shares at such time deposited or deemed to be deposited under this Deposit Agreement and any and all other securities, property and cash received or deemed to be received by the Depositary or the Custodian in respect thereof and held hereunder, subject, in the case of cash, to the provisions of Section 4.6. The collateral delivered in connection with Pre-Release Transactions described in Section 2.10 hereof shall not constitute Deposited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1.14 “</w:t>
      </w:r>
      <w:r>
        <w:rPr>
          <w:rFonts w:ascii="Arial" w:cs="Arial" w:eastAsia="Arial" w:hAnsi="Arial"/>
          <w:sz w:val="18"/>
          <w:szCs w:val="18"/>
          <w:u w:val="single" w:color="auto"/>
          <w:color w:val="auto"/>
        </w:rPr>
        <w:t>Dollars”, “$” and “U.S. $”</w:t>
      </w:r>
      <w:r>
        <w:rPr>
          <w:rFonts w:ascii="Arial" w:cs="Arial" w:eastAsia="Arial" w:hAnsi="Arial"/>
          <w:sz w:val="18"/>
          <w:szCs w:val="18"/>
          <w:color w:val="auto"/>
        </w:rPr>
        <w:t xml:space="preserve"> shall refer to the lawful currency of the United States.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1.15 “</w:t>
      </w:r>
      <w:r>
        <w:rPr>
          <w:rFonts w:ascii="Arial" w:cs="Arial" w:eastAsia="Arial" w:hAnsi="Arial"/>
          <w:sz w:val="18"/>
          <w:szCs w:val="18"/>
          <w:u w:val="single" w:color="auto"/>
          <w:color w:val="auto"/>
        </w:rPr>
        <w:t>DRS/Profile</w:t>
      </w:r>
      <w:r>
        <w:rPr>
          <w:rFonts w:ascii="Arial" w:cs="Arial" w:eastAsia="Arial" w:hAnsi="Arial"/>
          <w:sz w:val="18"/>
          <w:szCs w:val="18"/>
          <w:color w:val="auto"/>
        </w:rPr>
        <w:t>” means the system for the uncertificated registration of ownership of securities pursuant to which ownership of ADSs is maintained on the books of the Depositary without the issuance of a physical certificate and transfer instructions may be given to allow for the automated transfer of ownership between the books of DTC and the Depositary. Ownership of ADSs held in DRS/Profile are evidenced by periodic statements issued by the Depositary to the Holders entitled thereto.</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SECTION 1.16 “</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and Clearing Corporation, the central book-entry clearinghouse and settlement system for securities traded in the United States, and any successor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1.17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United States Securities Exchange Act of 1934, as from time to time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1.18 “</w:t>
      </w:r>
      <w:r>
        <w:rPr>
          <w:rFonts w:ascii="Arial" w:cs="Arial" w:eastAsia="Arial" w:hAnsi="Arial"/>
          <w:sz w:val="18"/>
          <w:szCs w:val="18"/>
          <w:u w:val="single" w:color="auto"/>
          <w:color w:val="auto"/>
        </w:rPr>
        <w:t>Foreign Currency</w:t>
      </w:r>
      <w:r>
        <w:rPr>
          <w:rFonts w:ascii="Arial" w:cs="Arial" w:eastAsia="Arial" w:hAnsi="Arial"/>
          <w:sz w:val="18"/>
          <w:szCs w:val="18"/>
          <w:color w:val="auto"/>
        </w:rPr>
        <w:t>” shall mean any currency other than Dollars.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SECTION 1.19 “</w:t>
      </w:r>
      <w:r>
        <w:rPr>
          <w:rFonts w:ascii="Arial" w:cs="Arial" w:eastAsia="Arial" w:hAnsi="Arial"/>
          <w:sz w:val="18"/>
          <w:szCs w:val="18"/>
          <w:u w:val="single" w:color="auto"/>
          <w:color w:val="auto"/>
        </w:rPr>
        <w:t>Foreign Registrar</w:t>
      </w:r>
      <w:r>
        <w:rPr>
          <w:rFonts w:ascii="Arial" w:cs="Arial" w:eastAsia="Arial" w:hAnsi="Arial"/>
          <w:sz w:val="18"/>
          <w:szCs w:val="18"/>
          <w:color w:val="auto"/>
        </w:rPr>
        <w:t>” shall mean the entity, if any, that carries out the duties of registrar for the Shares or any successor as registrar for the Shares and any other appointed agent of the Company for the transfer and registration of Shares.</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SECTION 1.20 “</w:t>
      </w:r>
      <w:r>
        <w:rPr>
          <w:rFonts w:ascii="Arial" w:cs="Arial" w:eastAsia="Arial" w:hAnsi="Arial"/>
          <w:sz w:val="18"/>
          <w:szCs w:val="18"/>
          <w:u w:val="single" w:color="auto"/>
          <w:color w:val="auto"/>
        </w:rPr>
        <w:t>Holder</w:t>
      </w:r>
      <w:r>
        <w:rPr>
          <w:rFonts w:ascii="Arial" w:cs="Arial" w:eastAsia="Arial" w:hAnsi="Arial"/>
          <w:sz w:val="18"/>
          <w:szCs w:val="18"/>
          <w:color w:val="auto"/>
        </w:rPr>
        <w:t>” shall mean the person in whose name a Receipt is registered on the books of the Depositary (or the Registrar, if any) maintained for such purpose. A Holder may or may not be a Beneficial Owner. A Holder shall be deemed to have all requisite authority to act on behalf of those Beneficial Owners of the ADRs registered in such Holder’s name.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79" w:name="page280"/>
    <w:bookmarkEnd w:id="27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1.21 “</w:t>
      </w:r>
      <w:r>
        <w:rPr>
          <w:rFonts w:ascii="Arial" w:cs="Arial" w:eastAsia="Arial" w:hAnsi="Arial"/>
          <w:sz w:val="18"/>
          <w:szCs w:val="18"/>
          <w:u w:val="single" w:color="auto"/>
          <w:color w:val="auto"/>
        </w:rPr>
        <w:t>Indemnified Person</w:t>
      </w:r>
      <w:r>
        <w:rPr>
          <w:rFonts w:ascii="Arial" w:cs="Arial" w:eastAsia="Arial" w:hAnsi="Arial"/>
          <w:sz w:val="18"/>
          <w:szCs w:val="18"/>
          <w:color w:val="auto"/>
        </w:rPr>
        <w:t>” and “</w:t>
      </w:r>
      <w:r>
        <w:rPr>
          <w:rFonts w:ascii="Arial" w:cs="Arial" w:eastAsia="Arial" w:hAnsi="Arial"/>
          <w:sz w:val="18"/>
          <w:szCs w:val="18"/>
          <w:u w:val="single" w:color="auto"/>
          <w:color w:val="auto"/>
        </w:rPr>
        <w:t>Indemnifying Person</w:t>
      </w:r>
      <w:r>
        <w:rPr>
          <w:rFonts w:ascii="Arial" w:cs="Arial" w:eastAsia="Arial" w:hAnsi="Arial"/>
          <w:sz w:val="18"/>
          <w:szCs w:val="18"/>
          <w:color w:val="auto"/>
        </w:rPr>
        <w:t>” shall have the meaning set forth in Section 5.8.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1.22 “</w:t>
      </w:r>
      <w:r>
        <w:rPr>
          <w:rFonts w:ascii="Arial" w:cs="Arial" w:eastAsia="Arial" w:hAnsi="Arial"/>
          <w:sz w:val="18"/>
          <w:szCs w:val="18"/>
          <w:u w:val="single" w:color="auto"/>
          <w:color w:val="auto"/>
        </w:rPr>
        <w:t>Pre-Release</w:t>
      </w:r>
      <w:r>
        <w:rPr>
          <w:rFonts w:ascii="Arial" w:cs="Arial" w:eastAsia="Arial" w:hAnsi="Arial"/>
          <w:sz w:val="18"/>
          <w:szCs w:val="18"/>
          <w:color w:val="auto"/>
        </w:rPr>
        <w:t>” shall have the meaning set forth in Section 2.10 hereof.</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1.23 “</w:t>
      </w:r>
      <w:r>
        <w:rPr>
          <w:rFonts w:ascii="Arial" w:cs="Arial" w:eastAsia="Arial" w:hAnsi="Arial"/>
          <w:sz w:val="18"/>
          <w:szCs w:val="18"/>
          <w:u w:val="single" w:color="auto"/>
          <w:color w:val="auto"/>
        </w:rPr>
        <w:t>Principal Office</w:t>
      </w:r>
      <w:r>
        <w:rPr>
          <w:rFonts w:ascii="Arial" w:cs="Arial" w:eastAsia="Arial" w:hAnsi="Arial"/>
          <w:sz w:val="18"/>
          <w:szCs w:val="18"/>
          <w:color w:val="auto"/>
        </w:rPr>
        <w:t>” when used with respect to the Depositary, shall mean the principal office of the Depositary at which at any particular time its depositary receipts business shall be administered, which, at the date of this Deposit Agreement, is located at 60 Wall Street, New York, New York 10005, U.S.A.</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SECTION 1.24 “</w:t>
      </w:r>
      <w:r>
        <w:rPr>
          <w:rFonts w:ascii="Arial" w:cs="Arial" w:eastAsia="Arial" w:hAnsi="Arial"/>
          <w:sz w:val="18"/>
          <w:szCs w:val="18"/>
          <w:u w:val="single" w:color="auto"/>
          <w:color w:val="auto"/>
        </w:rPr>
        <w:t>Receipt(s)”; “American Depositary Receipt(s)” and “ADR(s</w:t>
      </w:r>
      <w:r>
        <w:rPr>
          <w:rFonts w:ascii="Arial" w:cs="Arial" w:eastAsia="Arial" w:hAnsi="Arial"/>
          <w:sz w:val="18"/>
          <w:szCs w:val="18"/>
          <w:color w:val="auto"/>
        </w:rPr>
        <w:t>)” shall mean the certificate(s) or DRS/Profile statements issued by the Depositary evidencing the American Depositary Shares issued under the terms of this Deposit Agreement, as such Receipts may be amended from time to time in accordance with the provisions of this Deposit Agreement. References to Receipts shall include physical certificated Receipts as well as ADSs issued through DRS/Profile, unless the context otherwise requires.</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SECTION 1.25 “</w:t>
      </w:r>
      <w:r>
        <w:rPr>
          <w:rFonts w:ascii="Arial" w:cs="Arial" w:eastAsia="Arial" w:hAnsi="Arial"/>
          <w:sz w:val="16"/>
          <w:szCs w:val="16"/>
          <w:u w:val="single" w:color="auto"/>
          <w:color w:val="auto"/>
        </w:rPr>
        <w:t>Registrar</w:t>
      </w:r>
      <w:r>
        <w:rPr>
          <w:rFonts w:ascii="Arial" w:cs="Arial" w:eastAsia="Arial" w:hAnsi="Arial"/>
          <w:sz w:val="16"/>
          <w:szCs w:val="16"/>
          <w:color w:val="auto"/>
        </w:rPr>
        <w:t>” shall mean the Depositary or any bank or trust company having an office in the Borough of Manhattan, The City of New York, which shall be appointed by the Depositary to register ownership of Receipts and transfer of Receipts as herein provided, shall include any co-registrar appointed by the Depositary for such purposes. Registrars (other than the Depositary) may be removed and substitutes appointed by the Depositary.</w:t>
      </w:r>
    </w:p>
    <w:p>
      <w:pPr>
        <w:spacing w:after="0" w:line="10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SECTION 1.26 “</w:t>
      </w:r>
      <w:r>
        <w:rPr>
          <w:rFonts w:ascii="Arial" w:cs="Arial" w:eastAsia="Arial" w:hAnsi="Arial"/>
          <w:sz w:val="15"/>
          <w:szCs w:val="15"/>
          <w:u w:val="single" w:color="auto"/>
          <w:color w:val="auto"/>
        </w:rPr>
        <w:t>Restricted Securities</w:t>
      </w:r>
      <w:r>
        <w:rPr>
          <w:rFonts w:ascii="Arial" w:cs="Arial" w:eastAsia="Arial" w:hAnsi="Arial"/>
          <w:sz w:val="15"/>
          <w:szCs w:val="15"/>
          <w:color w:val="auto"/>
        </w:rPr>
        <w:t>” shall mean Shares, or American Depositary Shares representing such Shares, which (i) have been acquired directly or indirectly from the Company or any of its Affiliates in a transaction or chain of transactions not involving any public offering and subject to resale limitations under the Securities Act or the rules issued thereunder, or (ii) are held by an officer or director (or persons performing similar functions) or other Affiliate of the Company, or (iii) are subject to other restrictions on sale or deposit under the laws of the United States, the Cayman Islands, or under a shareholders’ agreement or the Company’s Memorandum and Articles of Association or under the regulations of an applicable securities exchange unless, in each case, such Shares are being sold to persons other than an Affiliate of the Company in a transaction (x) covered by an effective resale registration statement or (y) exempt from the registration requirements of the Securities Act (as hereinafter defined), and the Shares are not, when held by such person, Restricted Securities.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1.27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United States Securities Act of 1933, as from time to time amended.</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1.28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shall mean ordinary shares in registered form of the Company, par value $0.01 each, heretofore validly issued and outstanding and fully paid or hereafter validly issued and outstanding and fully paid. References to Shares shall include evidence of rights to receive Shares, whether or not stated in the particular instance;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no event shall Shares include evidence of rights to receive Shares with respect to which the full purchase price has not been paid or Shares as to which pre-emptive rights have theretofore not been validly waived or exercised;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there shall occur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80" w:name="page281"/>
    <w:bookmarkEnd w:id="280"/>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par value, split-up, consolidation, reclassification, conversion or any other event described in Section 4.9, in respect of the Shares of the Company, the term “Shares” shall thereafter, to the extent permitted by law, represent the successor securities resulting from such change in par value, split-up, consolidation, exchange, conversion, reclassification or event.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1.29 “</w:t>
      </w:r>
      <w:r>
        <w:rPr>
          <w:rFonts w:ascii="Arial" w:cs="Arial" w:eastAsia="Arial" w:hAnsi="Arial"/>
          <w:sz w:val="18"/>
          <w:szCs w:val="18"/>
          <w:u w:val="single" w:color="auto"/>
          <w:color w:val="auto"/>
        </w:rPr>
        <w:t>United States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shall mean the United States of America.</w:t>
      </w:r>
    </w:p>
    <w:p>
      <w:pPr>
        <w:spacing w:after="0" w:line="3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DEPOSIT OF SHARES; EXECUTION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DELIVERY, TRANSFER AND SURRENDER OF RECEIPTS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Appointment of Depositary</w:t>
      </w:r>
      <w:r>
        <w:rPr>
          <w:rFonts w:ascii="Arial" w:cs="Arial" w:eastAsia="Arial" w:hAnsi="Arial"/>
          <w:sz w:val="16"/>
          <w:szCs w:val="16"/>
          <w:color w:val="auto"/>
        </w:rPr>
        <w:t>. The Company hereby appoints the Depositary as exclusive depositary for the Deposited Securities and hereby authorizes and directs the Depositary to act in accordance with the terms set forth in this Deposit Agreement. Each Holder and each Beneficial Owner, upon acceptance of any ADSs (or any interest therein) issued in accordance with the terms of this Deposit Agreement, shall be deemed for all purposes to (a) be a party to and bound by the terms of this Deposit Agreement and (b) appoint the Depositary its attorney-in-fact, with full power to delegate, to act on its behalf and to take any and all actions contemplated in this Deposit Agreement, to adopt any and all procedures necessary to comply with applicable law and to take such action as the Depositary in its sole discretion may deem necessary or appropriate to carry out the purposes of this Deposit Agreement (the taking of such actions to be the conclusive determinant of the necessity and appropriateness thereof).</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Form and Transferability of Receipts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89" w:lineRule="auto"/>
        <w:tabs>
          <w:tab w:leader="none" w:pos="69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Definitive Receipts shall be substantially in the form set forth in Exhibit A annexed to this Deposit Agreement, with appropriate insertions, modifications and omissions, as hereinafter provided. Receipts may be issued in denominations of any number of American Depositary Shares. No definitive Receipt shall be entitled to any benefits under this Deposit Agreement or be valid or obligatory for any purpose, unless such Receipt shall have been executed by the Depositary by the manual or facsimile signature of a duly authorized signatory of the Depositary. The Depositary shall maintain books on which each Receipt so executed and delivered, in the case of definitive Receipts, and each Receipt issued through the DRS/Profile, in either case as hereinafter provided and the transfer of each such Receipt shall be registered. Receipts in certificated form bearing the manual or facsimile signature of a duly authorized signatory of the Depositary who was at any time a proper signatory of the Depositary shall bind the Depositary, notwithstanding that such signatory has ceased to hold such office prior to the execution and delivery of such Receipts by the Registrar or did not hold such office on the date of issuance of such Receipts.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81" w:name="page282"/>
    <w:bookmarkEnd w:id="281"/>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foregoing, the Receipts may be endorsed with or have incorporated in the text thereof such legends or recitals or modifications not inconsistent with the provisions of this Deposit Agreement as may be reasonably required by the Depositary in order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are subject by reason of the date of issuance of the underlying Deposited Securities or otherwise.</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anything in this Deposit Agreement or in the Receipt to the contrary, to the extent available by the Depositary, American Depositary Shares shall be evidenced by Receipts issued through DRS/Profile unless certificated Receipts are specifically requested by the Holder. Holders and Beneficial Owners shall be bound by the terms and conditions of this Deposit Agreement and of the form of Receipt, regardless of whether their Receipts are certificated or issued through DRS/Profile.</w:t>
      </w:r>
    </w:p>
    <w:p>
      <w:pPr>
        <w:spacing w:after="0" w:line="143" w:lineRule="exact"/>
        <w:rPr>
          <w:sz w:val="20"/>
          <w:szCs w:val="20"/>
          <w:color w:val="auto"/>
        </w:rPr>
      </w:pPr>
    </w:p>
    <w:p>
      <w:pPr>
        <w:ind w:firstLine="464"/>
        <w:spacing w:after="0" w:line="291" w:lineRule="auto"/>
        <w:tabs>
          <w:tab w:leader="none" w:pos="70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Subject to the limitations contained herein and in the form of Receipt, title to a Receipt (and to the American Depositary Shares evidenced thereby), when properly endorsed (in the case of certificated Receipts) or upon delivery to the Depositary of proper instruments of transfer, shall be transferable by delivery with the same effect as in the case of a negotiable instrument under the laws of the State of New York; provided, however, that the Depositary, notwithstanding any notice to the contrary, may treat the Holder thereof as the absolute owner thereof for the purpose of determining the person entitled to distribution of dividends or other distributions or to any notice provided for in this Deposit Agreement and for all other purposes and neither the Depositary nor the Company will have any obligation or be subject to any liability under the Deposit Agreement to any holder of a Receipt, unless such holder is the Holder thereof.</w:t>
      </w:r>
    </w:p>
    <w:p>
      <w:pPr>
        <w:spacing w:after="0" w:line="12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Deposits</w:t>
      </w:r>
      <w:r>
        <w:rPr>
          <w:rFonts w:ascii="Arial" w:cs="Arial" w:eastAsia="Arial" w:hAnsi="Arial"/>
          <w:sz w:val="16"/>
          <w:szCs w:val="16"/>
          <w:color w:val="auto"/>
        </w:rPr>
        <w:t>. (a) Subject to the terms and conditions of this Deposit Agreement and applicable law, Shares or evidence of rights to receive Shares (other than Restricted Securities) may be deposited by any person (including the Depositary in its individual capacity but subject, however, in the case of the Company or any Affiliate of the Company, to Section 5.7 hereof) at any time, whether or not the transfer books of the Company or the Foreign Registrar, if any, are closed, by Delivery of the Shares to the Custodian. Every deposit of Shares shall be accompanied by the following: (A)(i) in the case of Shares issued in registered form, appropriate instruments of transfer or endorsement, in a form satisfactory to the Custodian, (ii) in the case of Shares issued in bearer form, such Shares or the certificates representing such Shares and (iii) in the case of Shares delivered by book-entry transfer, confirmation of such book-entry transfer to the Custodian or that irrevocable instructions have been given to cause 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this Deposit Agreement, (C) if the Depositary so requires, a written order directing the Depositary to execute and deliver to, or upon the written order of, the person or persons stated in such order a Receipt or Receipts for the number of American Depositary Shares representing the Shares so deposited, (D) evidence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82" w:name="page283"/>
    <w:bookmarkEnd w:id="282"/>
    <w:p>
      <w:pPr>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satisfactory to the Depositary (which may include an opinion of counsel reasonably satisfactory to the Depositary provided at the cost of the person seeking to deposit Shares) that all conditions to such deposit have been met and all necessary approvals have been granted by, and there has been compliance with the rules and regulations of, any applicable governmental agency in the Cayman Islands,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 No Share shall be accepted for deposit unless accompanied by confirmation or such additional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governmental body in the Cayman Islands, if any, which is then performing the function of the regulator of currency exchange. The Depositary may issue Receipts against evidence of rights to receive Shares from the Company, any agent of the Company or any custodian, registrar, transfer agent, clearing agency or other entity involved in ownership or transaction records in respect of the Shares. Without limitation of the foregoing, the Depositary shall not knowingly accept for deposit under this Deposit Agreement any Shares required to be registered under the provisions of the Securities Act, unless a registration statement is in effect as to such Shares. The Depositary will use commercially reasonable efforts to comply with reasonable written instructions of the Company that the Depositary shall not accept for deposit hereunder any Shares specifically identified in such instructions at such times and under such circumstances as may reasonably be specified in such instructions in order to facilitate the Company’s compliance with the securities laws in the United States.</w:t>
      </w:r>
    </w:p>
    <w:p>
      <w:pPr>
        <w:spacing w:after="0" w:line="133" w:lineRule="exact"/>
        <w:rPr>
          <w:sz w:val="20"/>
          <w:szCs w:val="20"/>
          <w:color w:val="auto"/>
        </w:rPr>
      </w:pPr>
    </w:p>
    <w:p>
      <w:pPr>
        <w:ind w:firstLine="464"/>
        <w:spacing w:after="0" w:line="254" w:lineRule="auto"/>
        <w:tabs>
          <w:tab w:leader="none" w:pos="70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As soon as practicable after receipt of any permitted deposit hereunder and compliance with the provisions of this Deposit Agreement, the Custodian shall present the Shares so deposited, together with the appropriate instrument or instruments of transfer or endorsement, duly stamped, to the Foreign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in each case for the account of the Holders and Beneficial Owners, at such place or places as the Depositary or the Custodian shall determine.</w:t>
      </w:r>
    </w:p>
    <w:p>
      <w:pPr>
        <w:spacing w:after="0" w:line="144" w:lineRule="exact"/>
        <w:rPr>
          <w:rFonts w:ascii="Arial" w:cs="Arial" w:eastAsia="Arial" w:hAnsi="Arial"/>
          <w:sz w:val="18"/>
          <w:szCs w:val="18"/>
          <w:color w:val="auto"/>
        </w:rPr>
      </w:pPr>
    </w:p>
    <w:p>
      <w:pPr>
        <w:ind w:right="60" w:firstLine="464"/>
        <w:spacing w:after="0" w:line="256"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the event any Shares are deposited which entitle the holders thereof to receive a per-share distribution or other entitlement in an amount different from the Shares then on deposit, the Depositary is authorized to take any and all actions as may be necessary (including, without limitation, making the necessary notations on Receipts) to give effect to the issuance of such ADSs and to ensure that such ADSs are not fungible with other ADSs issued hereunder until such time as the entitlement of the Shares represented by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83" w:name="page284"/>
    <w:bookmarkEnd w:id="283"/>
    <w:p>
      <w:pPr>
        <w:jc w:val="both"/>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non-fungible ADSs equals that of the Shares represented by ADSs prior to the original such deposit. The Company agrees to give timely written notice to the Depositary if any Shares issued or to be issued contain rights different from those of any other Shares theretofore issued and shall assist the Depositary with the establishment of procedures enabling the identification of such non-fungible Shares upon Delivery to the Custodian.</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Execution and Delivery of Receipts</w:t>
      </w:r>
      <w:r>
        <w:rPr>
          <w:rFonts w:ascii="Arial" w:cs="Arial" w:eastAsia="Arial" w:hAnsi="Arial"/>
          <w:sz w:val="15"/>
          <w:szCs w:val="15"/>
          <w:color w:val="auto"/>
        </w:rPr>
        <w:t>. After the deposit of any Shares pursuant to Section 2.2, the Custodian shall notify the Depositary of such deposit and the person or persons to whom or upon whose written order a Receipt or Receipts are deliverable in respect thereof and the number of American Depositary Shares to be evidenced thereby. Such notification shall be made by letter, first class airmail postage prepaid, or, at the request, risk and expense of the person making the deposit, by cable, telex, SWIFT, facsimile or electronic transmission. After receiving such notice from the Custodian, the Depositary, subject to this Deposit Agreement (including, without limitation, the payment of the fees, expenses, taxes and other charges owing hereunder), shall issue the ADSs representing the Shares so deposited to or upon the order of the person or persons named in the notice delivered to the Depositary and shall execute and deliver a Receipt registered in the name or names requested by such person or persons evidencing in the aggregate the number of American Depositary Shares to which such person or persons are entitled. Nothing herein shall prohibit any Pre-Release Transaction upon the terms set forth in this Deposit Agreement.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Transfer of Receipts; Combination and Split-up of Receipts</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89" w:lineRule="auto"/>
        <w:tabs>
          <w:tab w:leader="none" w:pos="695"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The Depositary, or, if a Registrar (other than the Depositary) for the Receipts shall have been appointed, the Registrar, subject to the terms and conditions of this Deposit Agreement, shall register transfers of Receipts on its books, upon surrender at the Principal Office of the Depositary of a Receipt by the Holder thereof in person or by duly authorized attorney, properly endorsed in the case of a certificated Receipt or accompanied by, or in the case of DRS/Profile Receipts receipt by the Depositary of, proper instruments of transfer (including signature guarantees in accordance with standard industry practice) and duly stamped as may be required by the laws of the State of New York and of the United States and any other applicable law. Subject to the terms and conditions of this Deposit Agreement, including payment of the applicable fees and charges of the Depositary set forth in Section 5.9 and Exhibit A hereto, the Depositary shall execute a new Receipt or Receipts and deliver the same to or upon the order of the person entitled thereto evidencing the same aggregate number of American Depositary Shares as those evidenced by the Receipts surrendered.</w:t>
      </w:r>
    </w:p>
    <w:p>
      <w:pPr>
        <w:spacing w:after="0" w:line="118" w:lineRule="exact"/>
        <w:rPr>
          <w:rFonts w:ascii="Arial" w:cs="Arial" w:eastAsia="Arial" w:hAnsi="Arial"/>
          <w:sz w:val="16"/>
          <w:szCs w:val="16"/>
          <w:color w:val="auto"/>
        </w:rPr>
      </w:pPr>
    </w:p>
    <w:p>
      <w:pPr>
        <w:jc w:val="both"/>
        <w:ind w:right="80" w:firstLine="464"/>
        <w:spacing w:after="0" w:line="298" w:lineRule="auto"/>
        <w:tabs>
          <w:tab w:leader="none" w:pos="705"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Combination &amp; Split Up</w:t>
      </w:r>
      <w:r>
        <w:rPr>
          <w:rFonts w:ascii="Arial" w:cs="Arial" w:eastAsia="Arial" w:hAnsi="Arial"/>
          <w:sz w:val="16"/>
          <w:szCs w:val="16"/>
          <w:color w:val="auto"/>
        </w:rPr>
        <w:t>. The Depositary, subject to the terms and conditions of this Deposit Agreement shall, upon surrender of a Receipt or Receipts for the purpose of effecting a split-up or combination of such Receipt or Receipts and upon payment to the Depositary of the applicable fees and charges set forth in Section 5.9 and Exhibit A hereto, execute and deliver a new Receipt or Receipts for any authorized number of American Depositary Shares requested, evidencing the same aggregate number of American Depositary Shares as the Receipt or Receipts surrendered.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84" w:name="page285"/>
    <w:bookmarkEnd w:id="284"/>
    <w:p>
      <w:pPr>
        <w:ind w:right="40" w:firstLine="464"/>
        <w:spacing w:after="0" w:line="254" w:lineRule="auto"/>
        <w:tabs>
          <w:tab w:leader="none" w:pos="695"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Co-Transfer Agents</w:t>
      </w:r>
      <w:r>
        <w:rPr>
          <w:rFonts w:ascii="Arial" w:cs="Arial" w:eastAsia="Arial" w:hAnsi="Arial"/>
          <w:sz w:val="18"/>
          <w:szCs w:val="18"/>
          <w:color w:val="auto"/>
        </w:rPr>
        <w:t>. The Depositary may appoint one or more co-transfer agents for the purpose of effecting transfers, combinations and split-ups of Receipts at designated transfer offices on behalf of the Depositary. In carrying out its functions, a co-transfer agent may require evidence of authority and compliance with applicable laws and other requirements by Holders or persons entitled to such Receipts and will be entitled to protection and indemnity, in each case to the same extent as the Depositary. Such co-transfer agents may be removed and substitutes appointed by the Depositary. Each co-transfer agent appointed under this Section 2.5 (other than the Depositary) shall give notice in writing to the Depositary accepting such appointment and agreeing to be bound by the applicable terms of this Deposit Agreement.</w:t>
      </w:r>
    </w:p>
    <w:p>
      <w:pPr>
        <w:spacing w:after="0" w:line="144" w:lineRule="exact"/>
        <w:rPr>
          <w:rFonts w:ascii="Arial" w:cs="Arial" w:eastAsia="Arial" w:hAnsi="Arial"/>
          <w:sz w:val="18"/>
          <w:szCs w:val="18"/>
          <w:color w:val="auto"/>
        </w:rPr>
      </w:pPr>
    </w:p>
    <w:p>
      <w:pPr>
        <w:ind w:firstLine="464"/>
        <w:spacing w:after="0" w:line="256" w:lineRule="auto"/>
        <w:tabs>
          <w:tab w:leader="none" w:pos="70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At the request of a Holder, the Depositary shall, for the purpose of substituting a certificated Receipt with a Receipt issued through DRS/Profile, or vice versa, execute and deliver a certificated Receipt or DRS/Profile statement, as the case may be, for any authorized number of American Depositary Shares requested, evidencing the same aggregate number of American Depositary Shares as those evidenced by the certificated Receipt or DRS/Profile statement, as the case may be, substituted.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Surrender of Receipts and Withdrawal of Deposited Securities</w:t>
      </w:r>
      <w:r>
        <w:rPr>
          <w:rFonts w:ascii="Arial" w:cs="Arial" w:eastAsia="Arial" w:hAnsi="Arial"/>
          <w:sz w:val="16"/>
          <w:szCs w:val="16"/>
          <w:color w:val="auto"/>
        </w:rPr>
        <w:t>. Upon surrender, at the Principal Office of the Depositary, of American Depositary Shares for the purpose of withdrawal of the Deposited Securities represented thereby, and upon payment of (i) the fees and charges of the Depositary for the making of withdrawals of Deposited Securities and cancellation of Receipts (as set forth in Section 5.9 and Exhibit A hereof) and (ii) all applicable taxes and governmental charges payable in connection with such surrender and withdrawal, and subject to the terms and conditions of this Deposit Agreement, the Company’s Memorandum and Articles of Association, Section 7.9 hereof and any other provisions of or governing the Deposited Securities and other applicable laws, the Holder of such American Depositary Shares shall be entitled to Delivery, to him or upon his order, of the Deposited Securities at the time represented by the American Depositary Shares so surrendered. American Depositary Shares may be surrendered for the purpose of withdrawing Deposited Securities by delivery of a Receipt evidencing such American Depositary Shares (if held in certificated form) or by book-entry delivery of such American Depositary Shares to the Depositary.</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 entry delivery of the Shares (in either case, subject to Sections 2.7, 3.1, 3.2, 5.9, and to the other terms and conditions of this Deposit Agreement, to the Company’s Memorandum and Articles of Association, to the provisions of or governing the Deposited Securities and to applicable laws, now or hereafter in effect) to or upon the written order of the person or persons designated in the order delivered to the Depositary as provided above, the Deposited Securities represented by such American Depositary Shares, together with any certificate or other proper documents of or relating to title of the Deposited Securities as may be legally required, as the case may be, to or for the account of such person.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285" w:name="page286"/>
    <w:bookmarkEnd w:id="285"/>
    <w:p>
      <w:pPr>
        <w:ind w:right="120" w:firstLine="456"/>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Depositary may, in its discretion, refuse to accept for surrender a number of American Depositary Shares representing a number other than a whole number of Shares. In the case of surrender of a Receipt evidencing a number of American Depositary Shares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surrendered and remit the proceeds of such sale (net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applicable fees and charges of, and expenses incurred by, the Depositary and (b) taxes withheld) to the person surrendering the Receipt.</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Principal Office of the Depositary, and for further delivery to such Holder. Such direction shall be given by letter or, at the request, risk and expense of such Holder, by cable, telex or facsimile transmission. Upon receipt by the Depositary, the Depositary may make delivery to such person or persons entitled thereto at the Principal Office of the Depositary of any dividends or cash distributions with respect to the Deposited Securities represented by such American Depositary Shares, or of any proceeds of sale of any dividends, distributions or rights, which may at the time be held by the Depositary.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Limitations on Execution and Delivery, Transfer, etc. of Receipts; Suspension of Delivery, Transfer, etc.</w:t>
      </w:r>
    </w:p>
    <w:p>
      <w:pPr>
        <w:spacing w:after="0" w:line="90" w:lineRule="exact"/>
        <w:rPr>
          <w:sz w:val="20"/>
          <w:szCs w:val="20"/>
          <w:color w:val="auto"/>
        </w:rPr>
      </w:pPr>
    </w:p>
    <w:p>
      <w:pPr>
        <w:ind w:firstLine="464"/>
        <w:spacing w:after="0" w:line="289" w:lineRule="auto"/>
        <w:tabs>
          <w:tab w:leader="none" w:pos="695"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As a condition precedent to the execution and delivery, registration, registration of transfer, split-up, combination or surrender of any Receipt, the delivery of any distribution thereon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Exhibit A hereof, (ii) the production of proof satisfactory to it as to the identity and genuineness of any signature or any other matter contemplated by Section 3.1 hereof and (iii) compliance with (A) any laws or governmental regulations relating to the execution and delivery of Receipts or American Depositary Shares or to the withdrawal or delivery of Deposited Securities and (B) such reasonable regulations as the Depositary may establish consistent with the provisions of this Deposit Agreement and applicable law.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86" w:name="page287"/>
    <w:bookmarkEnd w:id="286"/>
    <w:p>
      <w:pPr>
        <w:ind w:right="40" w:firstLine="464"/>
        <w:spacing w:after="0" w:line="290" w:lineRule="auto"/>
        <w:tabs>
          <w:tab w:leader="none" w:pos="705"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Limitations</w:t>
      </w:r>
      <w:r>
        <w:rPr>
          <w:rFonts w:ascii="Arial" w:cs="Arial" w:eastAsia="Arial" w:hAnsi="Arial"/>
          <w:sz w:val="16"/>
          <w:szCs w:val="16"/>
          <w:color w:val="auto"/>
        </w:rPr>
        <w:t>. 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transfers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on which the Receipts or Shares are listed, or under any provision of this Deposit Agreement or provisions of, or governing, the Deposited Securities, or any meeting of shareholders of the Company or for any other reason, subject, in all cases, to Section 7.9 hereof.</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Lost Receipts, etc</w:t>
      </w:r>
      <w:r>
        <w:rPr>
          <w:rFonts w:ascii="Arial" w:cs="Arial" w:eastAsia="Arial" w:hAnsi="Arial"/>
          <w:sz w:val="16"/>
          <w:szCs w:val="16"/>
          <w:color w:val="auto"/>
        </w:rPr>
        <w:t>. In case any Receipt shall be mutilated, destroyed, lost or stolen, unless the Depositary has notice that such ADR has been acquired by a bona fide purchaser, subject to Section 5.9 hereof, the Depositary shall execute and deliver a new Receipt (which, in the discretion of the Depositary may be issued through DRS/Profile unless specifically requested otherwise) in exchange and substitution for such mutilated Receipt upon cancellation thereof, or in lieu of and in substitution for such destroyed, lost or stolen Receipt. Before the Depositary shall execute and deliver a new Receipt in substitution for a destroyed, lost or stolen Receipt, the Holder thereof shall have (a) filed with the Depositary (i) a request for such execution and delivery before the Depositary has notice that the Receipt has been acquired by a bona fide purchaser and (ii) a sufficient indemnity bond in form and amount acceptable to the Depositary and (b) satisfied any other reasonable requirements imposed by the Depositary.</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Cancellation and Destruction of Surrendered Receipts; Maintenance of Records</w:t>
      </w:r>
      <w:r>
        <w:rPr>
          <w:rFonts w:ascii="Arial" w:cs="Arial" w:eastAsia="Arial" w:hAnsi="Arial"/>
          <w:sz w:val="16"/>
          <w:szCs w:val="16"/>
          <w:color w:val="auto"/>
        </w:rPr>
        <w:t>. All Receipts surrendered to the Depositary shall be cancelled by the Depositary. The Depositary is authorized to destroy Receipts so cancelled in accordance with its customary practices. Cancelled Receipts shall not be entitled to any benefits under this Deposit Agreement or be valid or obligatory for any purpose.</w:t>
      </w:r>
    </w:p>
    <w:p>
      <w:pPr>
        <w:spacing w:after="0" w:line="10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Pre-Release</w:t>
      </w:r>
      <w:r>
        <w:rPr>
          <w:rFonts w:ascii="Arial" w:cs="Arial" w:eastAsia="Arial" w:hAnsi="Arial"/>
          <w:sz w:val="16"/>
          <w:szCs w:val="16"/>
          <w:color w:val="auto"/>
        </w:rPr>
        <w:t>. Subject to the further terms and provisions of this Section 2.10, the Depositary, its Affiliates and their agents, on their own behalf, may own and deal in any class of securities of the Company and its Affiliates and in ADSs. In its capacity as Depositary, the Depositary may (i) issue ADSs prior to the receipt of Shares (each such transaction a “Pre-Release Transaction”) as provided below and (ii) deliver Shares upon the receipt and cancellation of ADSs that were issued in a Pre-Release Transaction, but for which Shares may not yet have been received. The Depositary may receive ADSs in lieu of Shares under (i) above and receive shares in lieu of ADSs under (ii) above. Each such Pre-Release Transaction will be (a) subject to a written agreement whereby the person or entity (the “Applicant”) to whom ADSs or Shares are to be delivered (1) represents that at the time of the Pre-Release Transaction the Applicant or its customer owns the Shares or ADSs that are to be delivered by the Applicant under such Pre-Release Transaction, (2) agrees to indicate the Depositary as owner of such Shares or ADSs in its records and to hold such Shares or ADSs in trust for the Depositary until such Shares or ADSs are delivered to the Depositary or the Custodian, (3) unconditionally guarantees to deliver to the Depositary or the Custodian, as applicable, such Shares or ADSs, and (4) agrees to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87" w:name="page288"/>
    <w:bookmarkEnd w:id="287"/>
    <w:p>
      <w:pPr>
        <w:ind w:right="4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additional restrictions or requirements that the Depositary deems appropriate, (b) at all times fully collateralized with cash, United States government securities or such other collateral as the Depositary deems appropriate, (c) terminable by the Depositary on not more than five (5) business days’ notice and</w:t>
      </w:r>
    </w:p>
    <w:p>
      <w:pPr>
        <w:ind w:right="120" w:firstLine="8"/>
        <w:spacing w:after="0" w:line="253" w:lineRule="auto"/>
        <w:tabs>
          <w:tab w:leader="none" w:pos="24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Depositary reserves the right to disregard such limit from time to time as it deems appropriate. The Depositary may also set limits with respect to the number of ADSs and Shares involved in Pre-Release Transactions with any one person on a case by case basis as it deems appropriate.</w:t>
      </w:r>
    </w:p>
    <w:p>
      <w:pPr>
        <w:spacing w:after="0" w:line="14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Depositary may retain for its own account any compensation received by it in conjunction with the foregoing. Collateral provided pursuant to (b) above, but not the earnings thereon, shall be held for the benefit of the Holders (other than the Applicant).</w:t>
      </w:r>
    </w:p>
    <w:p>
      <w:pPr>
        <w:spacing w:after="0" w:line="28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CERTAIN OBLIGATIONS OF 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BENEFICIAL OWNERS OF RECEIPTS</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Proofs, Certificates and Other Information</w:t>
      </w:r>
      <w:r>
        <w:rPr>
          <w:rFonts w:ascii="Arial" w:cs="Arial" w:eastAsia="Arial" w:hAnsi="Arial"/>
          <w:sz w:val="16"/>
          <w:szCs w:val="16"/>
          <w:color w:val="auto"/>
        </w:rPr>
        <w:t>. Any person presenting Shares for deposit, any Holder and any Beneficial Owner may be required, and every Holder and Beneficial Owner agrees, from time to time to provide to the Depositary or the Custodian such proof of citizenship or residence, taxpayer status, payment of all applicable taxes or other governmental charges, exchange control approval, legal or beneficial ownership of ADSs and Deposited Securities, compliance with applicable laws and the terms of this Deposit Agreement and the provisions of, or governing, the Deposited Securities or other information; to execute such certifications and to make such representations and warranties, and to provide such other information and documentation as the Depositary may deem necessary or proper or as the Company may reasonably require by written request to the Depositary consistent with its obligations hereunder. The Depositary and the Registrar, as applicable, may withhold the execution or delivery or registration of transfer of any Receipt or the distribution or sale of any dividend or distribution of rights or of the proceeds thereof, or to the extent not limited by the terms of Section 7.9 hereof, the delivery of any Deposited Securities, until such proof or other information is filed or such certifications are executed, or such representations and warranties are made, or such other documentation or information provided, in each case to the Depositary’s and the Company’s satisfaction. The Depositary shall from time to time on the written request advise the Company of the availability of any such proofs, certificates or other information and shall, at the Company’s sole expense, provide or otherwise make available copies thereof to the Company upon written request thereof by the Company, unless such disclosure is prohibited by law. Each Holder and Beneficial Owner agrees to provide any information requested by the Company or the Depositary pursuant to this paragraph.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88" w:name="page289"/>
    <w:bookmarkEnd w:id="288"/>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3.2 </w:t>
      </w:r>
      <w:r>
        <w:rPr>
          <w:rFonts w:ascii="Arial" w:cs="Arial" w:eastAsia="Arial" w:hAnsi="Arial"/>
          <w:sz w:val="16"/>
          <w:szCs w:val="16"/>
          <w:u w:val="single" w:color="auto"/>
          <w:color w:val="auto"/>
        </w:rPr>
        <w:t>Liability for Taxes and Other Charges</w:t>
      </w:r>
      <w:r>
        <w:rPr>
          <w:rFonts w:ascii="Arial" w:cs="Arial" w:eastAsia="Arial" w:hAnsi="Arial"/>
          <w:sz w:val="16"/>
          <w:szCs w:val="16"/>
          <w:color w:val="auto"/>
        </w:rPr>
        <w:t>. If any present or future tax or other governmental charge shall become payable by the Depositary or the Custodian with respect to any ADR or any Deposited Securities or American Depositary Shares, such tax or other governmental charge shall be payable by the Holders and Beneficial Owners to the Depositary and such Holders and Beneficial Owners shall be deemed liable therefor. The Company, the Custodian and/or the Depositary may withhold or deduct from any distributions made in respect of Deposited Securities and may sell for the account of a Holder and/or Beneficial Owner any or all of the Deposited Securities and apply such distributions and sale proceeds in payment of such taxes (including applicable interest and penalties) or charges, with the Holder and the Beneficial Owner remaining fully liable for any deficiency. In addition to any other remedies available to it, the Depositary and the Custodian may refuse the deposit of Shares, and the Depositary may refuse to issue ADSs, to deliver ADRs, register the transfer, split-up or combination of ADRs and (subject to Section 7.9) the withdrawal of Deposited Securities, until payment in full of such tax, charge, penalty or interest is received. Every Holder and Beneficial Owner agrees to indemnify the Depositary, the Company, the Custodian, and each of their respective agents, officers, directors, employees and Affiliates for, and to hold each of them harmless from, any claims with respect to taxes (including applicable interest and penalties thereon) arising from any tax benefit obtained for such Holder and/or Beneficial Owner. The obligations of Holders and Beneficial Owners of Receipts under this Section 3.2 shall survive any transfer of Receipts, any surrender of Receipts and withdrawal of Deposited Securities, or the termination of this Deposit Agreement.</w:t>
      </w:r>
    </w:p>
    <w:p>
      <w:pPr>
        <w:spacing w:after="0" w:line="1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Representations and Warranties on Deposit of Shares</w:t>
      </w:r>
      <w:r>
        <w:rPr>
          <w:rFonts w:ascii="Arial" w:cs="Arial" w:eastAsia="Arial" w:hAnsi="Arial"/>
          <w:sz w:val="16"/>
          <w:szCs w:val="16"/>
          <w:color w:val="auto"/>
        </w:rPr>
        <w:t>. Each person depositing Shares under the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American Depositary Shares issuable upon such deposit will not be, Restricted Securities and (v) the Shares presented for deposit have not been stripped of any rights or entitlements. Such representations and warranties shall survive the deposit and withdrawal of Shares, the issuance and cancellation of American Depositary Shares in respect thereof and the transfer of such American Depositary Shares.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Compliance with Information Requests</w:t>
      </w:r>
      <w:r>
        <w:rPr>
          <w:rFonts w:ascii="Arial" w:cs="Arial" w:eastAsia="Arial" w:hAnsi="Arial"/>
          <w:sz w:val="18"/>
          <w:szCs w:val="18"/>
          <w:color w:val="auto"/>
        </w:rPr>
        <w:t>. Notwithstanding any other provision of this Deposit Agreement, the Memorandum and Articles of Association of the Company and applicable law, each Holder and Beneficial Owner agrees to (a) provide such information as the Company or the Depositary may request pursuant to law (including, without limitation, relevant Cayman law, any applicable law of the United States), the Memorandum and Articles of Association of the Company, any resolutions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89" w:name="page290"/>
    <w:bookmarkEnd w:id="28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Company’s Board of Directors adopted pursuant to such Memorandum and Articles of Association, the requirements of any markets or exchanges upon which the Shares, ADSs or Receipts are listed or traded, or to any requirements of any electronic book-entry system by which the ADSs or Receipts may be transferred, and (b) be bound by and subject to applicable provisions of the laws of the Cayman Islands, the Memorandum and Articles of Association of the Company and the requirements of any markets or exchanges upon which the ADSs, Receipts or Shares are listed or traded, or pursuant to any requirements of any electronic book-entry system by which the ADSs, Receipts or Shares may be transferred, to the same extent as if such Holder and Beneficial Owner held Shares directly, in each case irrespective of whether or not they are Holders or Beneficial Owners at the time such request is made.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DEPOSITED SECURITIES</w:t>
      </w:r>
    </w:p>
    <w:p>
      <w:pPr>
        <w:spacing w:after="0" w:line="17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Cash Distributions</w:t>
      </w:r>
      <w:r>
        <w:rPr>
          <w:rFonts w:ascii="Arial" w:cs="Arial" w:eastAsia="Arial" w:hAnsi="Arial"/>
          <w:sz w:val="16"/>
          <w:szCs w:val="16"/>
          <w:color w:val="auto"/>
        </w:rPr>
        <w:t>. Whenever the Depositary receives confirmation from the Custodian of receipt of any cash dividend or other cash distribution on any Deposited Securities, or receives proceeds from the sale of any Shares, rights, securities or other entitlements under the terms hereof, the Depositary will, if at the time of receipt thereof any amounts received in a Foreign Currency can in the judgment of the Depositary (pursuant to Section 4.6 hereof) be converted on a practicable basis into Dollars transferable to the United States, promptly convert or cause to be converted such cash dividend, distribution or proceeds into Dollars (on the terms described in Section 4.6) and will distribute promptly the amount thus received (net of (a) the applicable fees and charges of, and expenses incurred by, the Depositary and (b) taxes withheld) to the Holders of record as of the ADS Record Date in proportion to the number of American Depositary Shares held by such Holders respectively as of the ADS Record Date. The Depositary shall distribute only such amount, however, as can be distributed without attributing to any Holder a fraction of one cent. Any such fractional amounts shall be rounded to the nearest whole cent and so distributed to Holders entitled thereto. Holders and Beneficial Owners understand that in converting Foreign Currency, amounts received on conversion are calculated at a rate which exceeds three or four decimal places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American Depositary Shares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forward to the Company or its agent such information from its records as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90" w:name="page291"/>
    <w:bookmarkEnd w:id="290"/>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may reasonably request to enable the Company or its agent to file necessary reports with governmental agencies, such reports necessary to obtain benefits under the applicable tax treaties for the Holders and Beneficial Owners of Receipts.</w:t>
      </w:r>
    </w:p>
    <w:p>
      <w:pPr>
        <w:spacing w:after="0" w:line="132"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Distribution in Shares</w:t>
      </w:r>
      <w:r>
        <w:rPr>
          <w:rFonts w:ascii="Arial" w:cs="Arial" w:eastAsia="Arial" w:hAnsi="Arial"/>
          <w:sz w:val="15"/>
          <w:szCs w:val="15"/>
          <w:color w:val="auto"/>
        </w:rPr>
        <w:t>. If any distribution upon any Deposited Securities consists of a dividend in, or free distribution of, Shares, the Company shall cause such Shares to be deposited with the Custodian and registered, as the case may be, in the name of the Depositary, the Custodian or any of their nominees. Upon receipt of confirmation of such deposit from the Custodian, the Depositary shall establish the ADS Record Date upon the terms described in Section 4.7 and shall, subject to Section 5.9 hereof, either (i) distribute to the Holders as of the ADS Record Date in proportion to the number of American Depositary Shares held as of the ADS Record Date, additional American Depositary Shares, which represent in the aggregate the number of Shares received as such dividend, or free distribution, subject to the other terms of this Deposit Agreement (including, without limitation, (a) the applicable fees and charges of, and expenses incurred by, the Depositary and (b) taxes), or (ii) if additional American Depositary Shares are not so distributed, each American Depositary Share issued and outstanding after the ADS Record Date shall, to the extent permissible by law, thenceforth also represent rights and interests in the additional Shares distributed upon the Deposited Securities represented thereby (net of (a) the applicable fees and charges of, and expenses incurred by, the Depositary and</w:t>
      </w:r>
    </w:p>
    <w:p>
      <w:pPr>
        <w:spacing w:after="0" w:line="4" w:lineRule="exact"/>
        <w:rPr>
          <w:sz w:val="20"/>
          <w:szCs w:val="20"/>
          <w:color w:val="auto"/>
        </w:rPr>
      </w:pPr>
    </w:p>
    <w:p>
      <w:pPr>
        <w:ind w:firstLine="8"/>
        <w:spacing w:after="0" w:line="300" w:lineRule="auto"/>
        <w:tabs>
          <w:tab w:leader="none" w:pos="249"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taxes). In lieu of delivering fractional American Depositary Shares, the Depositary shall sell the number of Shares represented by the aggregate of such fractions and distribute the proceeds upon the terms described in Section 4.1. The Depositary may withhold any such distribution of Receipts if it has not received satisfactory assurances from the Company (including an opinion of counsel to the Company furnished at the expense of the Company) that such distribution does not require registration under the Securities Act or is exempt from registration under the provisions of the Securities Act. To the extent such distribution may be withheld, the Depositary may dispose of all or a portion of such distribution in such amounts and in such manner, including by public or private sale, as the Depositary deems necessary and practicable, and the Depositary shall distribute the net proceeds of any such sale (after deduction of applicable (a) taxes and</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fees and charges of, and expenses incurred by, the Depositary) to Holders entitled thereto upon the terms described in Section 4.1.</w:t>
      </w:r>
    </w:p>
    <w:p>
      <w:pPr>
        <w:spacing w:after="0" w:line="16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Elective Distributions in Cash or Shares</w:t>
      </w:r>
      <w:r>
        <w:rPr>
          <w:rFonts w:ascii="Arial" w:cs="Arial" w:eastAsia="Arial" w:hAnsi="Arial"/>
          <w:sz w:val="16"/>
          <w:szCs w:val="16"/>
          <w:color w:val="auto"/>
        </w:rPr>
        <w:t>. Whenever the Company intends to distribute a dividend payable at the election of the holders of Shares in cash or in additional Shares, the Company shall give notice thereof to the Depositary at least 30 days prior to the proposed distribution stating whether or not it wishes such elective distribution to be made available to Holders of ADSs. Upon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is available to Holders of ADRs, (ii) the Depositary shall have determined that such distribution is reasonably practicable and (iii) the Depositary shall have received satisfactory documentation within the terms of Section 5.7. If the above conditions 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91" w:name="page292"/>
    <w:bookmarkEnd w:id="29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satisfied, the Depositary shall, to the extent permitted by law, distribute to the Holders, on the basis of the same determination as is made in the local market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4.7) and establish procedures to enable Holders to elect the receipt of the proposed dividend in cash or in additional ADSs. The Company shall assist the Depositary in establishing such procedures to the extent necessary. Subject to Section 5.9 hereof, if a Holder elects to receive the proposed dividend (x) in cash, the dividend shall be distributed upon the terms described in Section 4.1, or (y) in ADSs, the dividend shall be distributed upon the terms described in Section 4.2. Nothing herein shall obligate the Depositary to make available to Holders a method to receive the elective dividend in Shares (rather than ADSs). There can be no assurance that Holders generally, or any Holder in particular, will be given the opportunity to receive elective distributions on the same terms and conditions as the holders of Shares.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Distribution of Rights to Purchase Shares</w:t>
      </w:r>
      <w:r>
        <w:rPr>
          <w:rFonts w:ascii="Arial" w:cs="Arial" w:eastAsia="Arial" w:hAnsi="Arial"/>
          <w:sz w:val="18"/>
          <w:szCs w:val="18"/>
          <w:color w:val="auto"/>
        </w:rPr>
        <w:t>.</w:t>
      </w:r>
    </w:p>
    <w:p>
      <w:pPr>
        <w:spacing w:after="0" w:line="90" w:lineRule="exact"/>
        <w:rPr>
          <w:sz w:val="20"/>
          <w:szCs w:val="20"/>
          <w:color w:val="auto"/>
        </w:rPr>
      </w:pPr>
    </w:p>
    <w:p>
      <w:pPr>
        <w:ind w:right="40" w:firstLine="464"/>
        <w:spacing w:after="0" w:line="286" w:lineRule="auto"/>
        <w:tabs>
          <w:tab w:leader="none" w:pos="695"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Distribution to ADS Holders</w:t>
      </w:r>
      <w:r>
        <w:rPr>
          <w:rFonts w:ascii="Arial" w:cs="Arial" w:eastAsia="Arial" w:hAnsi="Arial"/>
          <w:sz w:val="16"/>
          <w:szCs w:val="16"/>
          <w:color w:val="auto"/>
        </w:rPr>
        <w:t>. Whenever the Company intends to distribute to the holders of the Deposited Securities rights to subscribe for additional Shares, the Company shall give notice thereof to the Depositary at least 45 days prior to the proposed distribution stating whether or not it wishes such rights to be made available to Holders of ADSs. Upon receipt of a notice indicating that the Company wishes such rights to be made available to Holders of ADSs, the Depositary shall consult with the Company to determine, and the Company shall determine,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lawful and reasonably practicable. In the event any of the conditions set forth above are not satisfied, the Depositary shall proceed with the sale of the rights as contemplated in Section 4.4(b) below or, if timing or market conditions may not permit, do nothing thereby allowing such rights to lapse. In the event all conditions set forth above are satisfied, the Depositary shall establish an ADS Record Date (upon the terms described in Section 4.7) and establish procedures (x) to distribute such rights (by means of warrants or otherwise) and (y) to enable the Holders to exercise the rights (upon payment of applicable (a) fees and charges of, and expenses incurred by, the Depositary and (b) taxes and other governmental charges). Nothing herein shall obligate the Depositary to make available to the Holders a method to exercise such rights to subscribe for Shares (rather than ADSs).</w:t>
      </w:r>
    </w:p>
    <w:p>
      <w:pPr>
        <w:spacing w:after="0" w:line="124" w:lineRule="exact"/>
        <w:rPr>
          <w:rFonts w:ascii="Arial" w:cs="Arial" w:eastAsia="Arial" w:hAnsi="Arial"/>
          <w:sz w:val="16"/>
          <w:szCs w:val="16"/>
          <w:color w:val="auto"/>
        </w:rPr>
      </w:pPr>
    </w:p>
    <w:p>
      <w:pPr>
        <w:ind w:right="40" w:firstLine="464"/>
        <w:spacing w:after="0" w:line="255" w:lineRule="auto"/>
        <w:tabs>
          <w:tab w:leader="none" w:pos="705"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Sale of Rights</w:t>
      </w:r>
      <w:r>
        <w:rPr>
          <w:rFonts w:ascii="Arial" w:cs="Arial" w:eastAsia="Arial" w:hAnsi="Arial"/>
          <w:sz w:val="18"/>
          <w:szCs w:val="18"/>
          <w:color w:val="auto"/>
        </w:rPr>
        <w:t>. If (i) the Company does not timely request the Depositary to make the rights available to Holders or requests that the rights not be made available to Holders, (ii) the Depositary fails to receive satisfactory documentation within the terms of Section 5.7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in a riskless principal capacity or otherwise, at such place and upon such terms (including public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92" w:name="page293"/>
    <w:bookmarkEnd w:id="292"/>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private sale) as it may deem proper. The Company shall assist the Depositary to the extent necessary to determine such legality and practicability. The Depositary shall, upon such sale, convert and distribute proceeds of such sale (net of applicable (a) fees and charges of, and expenses incurred by, the Depositary and</w:t>
      </w:r>
    </w:p>
    <w:p>
      <w:pPr>
        <w:ind w:left="260" w:hanging="252"/>
        <w:spacing w:after="0"/>
        <w:tabs>
          <w:tab w:leader="none" w:pos="2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taxes) upon the terms set forth in Section 4.1.</w:t>
      </w:r>
    </w:p>
    <w:p>
      <w:pPr>
        <w:spacing w:after="0" w:line="164" w:lineRule="exact"/>
        <w:rPr>
          <w:rFonts w:ascii="Arial" w:cs="Arial" w:eastAsia="Arial" w:hAnsi="Arial"/>
          <w:sz w:val="18"/>
          <w:szCs w:val="18"/>
          <w:color w:val="auto"/>
        </w:rPr>
      </w:pPr>
    </w:p>
    <w:p>
      <w:pPr>
        <w:ind w:right="20" w:firstLine="464"/>
        <w:spacing w:after="0" w:line="268" w:lineRule="auto"/>
        <w:tabs>
          <w:tab w:leader="none" w:pos="695"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Lapse of Rights</w:t>
      </w:r>
      <w:r>
        <w:rPr>
          <w:rFonts w:ascii="Arial" w:cs="Arial" w:eastAsia="Arial" w:hAnsi="Arial"/>
          <w:sz w:val="18"/>
          <w:szCs w:val="18"/>
          <w:color w:val="auto"/>
        </w:rPr>
        <w:t>. If the Depositary is unable to make any rights available to Holders upon the terms described in Section 4.4(a) or to arrange for the sale of the rights upon the terms described in Section 4.4(b), the Depositary shall allow such rights to lapse.</w:t>
      </w:r>
    </w:p>
    <w:p>
      <w:pPr>
        <w:spacing w:after="0" w:line="132"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at its expense the Depositary with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or charges.</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293" w:name="page294"/>
    <w:bookmarkEnd w:id="2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4.5 </w:t>
      </w:r>
      <w:r>
        <w:rPr>
          <w:rFonts w:ascii="Arial" w:cs="Arial" w:eastAsia="Arial" w:hAnsi="Arial"/>
          <w:sz w:val="18"/>
          <w:szCs w:val="18"/>
          <w:u w:val="single" w:color="auto"/>
          <w:color w:val="auto"/>
        </w:rPr>
        <w:t>Distributions Other Than Cash, Shares or Rights to Purchase Shares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1" w:lineRule="auto"/>
        <w:tabs>
          <w:tab w:leader="none" w:pos="69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Whenever the Company intends to distribute to the holders of Deposited Securities property other than cash, Shares or rights to purchase additional Shares, the Company shall give notice thereof to the Depositary at least 30 days prior to the proposed distribution and shall indicate whether or not it wishes such distribution to be made to Holders of ADSs. Upon receipt of a notice indicating that the Company wishes such distribution be made to Holders of ADSs, the Depositary shall determine whether such distribution to Holders is lawful and practicable. The Depositary shall not make such distribution unless (i) the Company shall have timely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20" w:lineRule="exact"/>
        <w:rPr>
          <w:rFonts w:ascii="Arial" w:cs="Arial" w:eastAsia="Arial" w:hAnsi="Arial"/>
          <w:sz w:val="16"/>
          <w:szCs w:val="16"/>
          <w:color w:val="auto"/>
        </w:rPr>
      </w:pPr>
    </w:p>
    <w:p>
      <w:pPr>
        <w:ind w:right="40" w:firstLine="464"/>
        <w:spacing w:after="0" w:line="290" w:lineRule="auto"/>
        <w:tabs>
          <w:tab w:leader="none" w:pos="70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Upon receipt of satisfactory documentation and the request of the Company to distribute property to Holders of ADSs and after making the requisite determinations set forth in (a) above, the Depositary may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and other governmental charges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18" w:lineRule="exact"/>
        <w:rPr>
          <w:rFonts w:ascii="Arial" w:cs="Arial" w:eastAsia="Arial" w:hAnsi="Arial"/>
          <w:sz w:val="16"/>
          <w:szCs w:val="16"/>
          <w:color w:val="auto"/>
        </w:rPr>
      </w:pPr>
    </w:p>
    <w:p>
      <w:pPr>
        <w:ind w:right="80" w:firstLine="464"/>
        <w:spacing w:after="0" w:line="290" w:lineRule="auto"/>
        <w:tabs>
          <w:tab w:leader="none" w:pos="69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If (i) the Company does not request the Depositary to make such distribution to Holders or requests not to make such distribution to Holders, (ii) the Depositary does not receive satisfactory documentation within the terms of Section 5.7, or (iii) the Depositary determines that all or a portion of such distribution is not reasonably practicable or feasible, the Depositary shall endeavor to sell or cause such property to be sold in a public or private sale, at such place or places and upon such terms as it may deem proper and shall distribute the net proceeds, if any, of such sale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in any way it deems reasonably practicable under the circumstances for nominal or no consideration and Holders and Beneficial Owners shall have no rights thereto or arising therefrom.</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Conversion of Foreign Currency</w:t>
      </w:r>
      <w:r>
        <w:rPr>
          <w:rFonts w:ascii="Arial" w:cs="Arial" w:eastAsia="Arial" w:hAnsi="Arial"/>
          <w:sz w:val="16"/>
          <w:szCs w:val="16"/>
          <w:color w:val="auto"/>
        </w:rPr>
        <w:t>. Whenever the Depositary or the Custodian shall receive Foreign Currency, by way of dividends or other distributions or the net proceeds from the sale of securities, property or rights, and in the judgment of the Depositary such Foreign Currency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any fees, expenses, taxes or other governmental charges incurred in the process of such conversion) in accordance with the terms of the applicable sections of this Deposit Agreement. If the Depositary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94" w:name="page295"/>
    <w:bookmarkEnd w:id="29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exchange restrictions, the date of delivery of any Receipt or otherwise.</w:t>
      </w:r>
    </w:p>
    <w:p>
      <w:pPr>
        <w:spacing w:after="0" w:line="143"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Holders understand that in converting Foreign Currency, amounts received on conversion are calculated at a rate which may exceed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such conversion or distribution can be effected only with the approval or license of any government or agency thereof, the Depositary may file such application for approval or license, if any, as it may deem necessary, practicable and at nominal cost and expense. Nothing herein shall obligate the Depositary to file or cause to be filed, or to seek effectiveness of any such application or license.</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practical or lawful, or if any approval or license of any governmental authority or agency thereof that is required for such conversion, transfer and distribution is denied, or not obtainable at a reasonable cost, within a reasonable period or otherwise sought, the Depositary shall, in its sole discretion but subject to applicable laws and regulations, either (i) distribute the foreign currency (or an appropriate document evidencing the right to receive such foreign currency) received by the Depositary to the Holders entitled to receive such foreign currency, or (ii) hold such foreign currency uninvested and without liability for interest thereon for the respective accounts of the Holders entitled to receive the same.</w:t>
      </w:r>
    </w:p>
    <w:p>
      <w:pPr>
        <w:spacing w:after="0" w:line="12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Fixing of Record Date</w:t>
      </w:r>
      <w:r>
        <w:rPr>
          <w:rFonts w:ascii="Arial" w:cs="Arial" w:eastAsia="Arial" w:hAnsi="Arial"/>
          <w:sz w:val="16"/>
          <w:szCs w:val="16"/>
          <w:color w:val="auto"/>
        </w:rPr>
        <w:t>. Whenever necessary in connection with any distribution (whether in cash, Shares, rights, or other distribution), or whenever for any reason the Depositary causes a change in the number of Shares that are represented by each American Depositary Share, or whenever the Depositary shall receive notice of any meeting of or solicitation of holders of Shares or other Deposited Securities, or whenever the Depositary shall find it necessary or convenient, the Depositary shall fix a record date (the “ADS Record Date”), as close as practicable to the record date fixed by the Company with respect to the Shares,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American Depositary Share. Subject to applicable law and the provisions of Section 4.1 through</w:t>
      </w:r>
    </w:p>
    <w:p>
      <w:pPr>
        <w:ind w:right="200"/>
        <w:spacing w:after="0" w:line="323" w:lineRule="auto"/>
        <w:rPr>
          <w:sz w:val="20"/>
          <w:szCs w:val="20"/>
          <w:color w:val="auto"/>
        </w:rPr>
      </w:pPr>
      <w:r>
        <w:rPr>
          <w:rFonts w:ascii="Arial" w:cs="Arial" w:eastAsia="Arial" w:hAnsi="Arial"/>
          <w:sz w:val="16"/>
          <w:szCs w:val="16"/>
          <w:color w:val="auto"/>
        </w:rPr>
        <w:t>4.6 and to the other terms and conditions of this Deposit Agreement, only the Holders of record at the close of business in New York on such ADS Record Date shall be entitled to receive such distribution, to give such voting instructions, to receive such notice or solicitation, or otherwise take action.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95" w:name="page296"/>
    <w:bookmarkEnd w:id="295"/>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4.8 </w:t>
      </w:r>
      <w:r>
        <w:rPr>
          <w:rFonts w:ascii="Arial" w:cs="Arial" w:eastAsia="Arial" w:hAnsi="Arial"/>
          <w:sz w:val="16"/>
          <w:szCs w:val="16"/>
          <w:u w:val="single" w:color="auto"/>
          <w:color w:val="auto"/>
        </w:rPr>
        <w:t>Voting of Deposited Securities</w:t>
      </w:r>
      <w:r>
        <w:rPr>
          <w:rFonts w:ascii="Arial" w:cs="Arial" w:eastAsia="Arial" w:hAnsi="Arial"/>
          <w:sz w:val="16"/>
          <w:szCs w:val="16"/>
          <w:color w:val="auto"/>
        </w:rPr>
        <w:t>. Subject to the next sentence, as soon as practicable after receipt of notice of any meeting at which the holders of Shares are entitled to vote, or of solicitation of consents or proxies from holders of Shares or other Deposited Securities, the Depositary shall fix the ADS Record Date in respect of such meeting or solicitation of consent or proxy. The Depositary shall, if requested by the Company in writing in a timely manner (the Depositary having no obligation to take any further action if the request shall not have been received by the Depositary at least 21 Business Days prior to the date of such vote or meeting) and at the Company’s expense, unless otherwise agreed in writing by the Company and the Depositary and provided no U.S. legal prohibitions exist, mail by regular, ordinary mail delivery, or by electronic transmission, or otherwise distribute to Holders as of the ADS Record Date: (a) such notice of meeting or solicitation of consent or proxy; (b) a statement that the Holders at the close of business on the ADS Record Date will be entitled, subject to any applicable law,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Shares or other Deposited Securities represented by such Holder’s American Depositary Shares; and (c) a brief statement as to the manner in which such instructions may be given. Voting instructions may be given only in respect of a number of American Depositary Shares representing an integral number of Shares or other Deposited Securities. Upon the timely receipt of written instructions of a Holder of American Depositary Shares on the ADS Record Date of voting instructions in the manner specified by the Depositary, the Depositary shall endeavor, insofar as practicable and permitted under applicable law, the provisions of this Deposit Agreement, the Company’s Memorandum and Articles of Association and the provisions of or governing the Deposited Securities, to vote or cause the Custodian to vote the Shares and/or other Deposited Securities (in person or by proxy) represented by American Depositary Shares evidenced by such Receipt in accordance with such voting instructions.</w:t>
      </w:r>
    </w:p>
    <w:p>
      <w:pPr>
        <w:spacing w:after="0" w:line="124"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the event that the Depositary i) timely receives voting instructions from a Holder which fail to specify the manner in which the Depositary is to vote the Deposited Securities represented by such Holder’s ADSs or ii) if no instructions are received by the Depositary from a Holder with respect to any of the Deposited Securities represented by the ADSs evidenced by such Holder’s ADRs on or before the ADS Record Date established by the Depositary for such purpose,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Shares, provided, further, that the Company will have no liability to any Holder or Beneficial Owner resulting from such notification.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96" w:name="page297"/>
    <w:bookmarkEnd w:id="296"/>
    <w:p>
      <w:pPr>
        <w:ind w:right="1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Shares or other Deposited Securities represented by American Depositary Shares except pursuant to and in accordance with such written instructions from Holders, including the deemed instruction to the Depositary to give a discretionary proxy to a person designated by the Company. Shares or other Deposited Securities represented by ADSs for which no specific voting instructions are received by the Depositary from the Holder shall not be voted.</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Notwithstanding the above, save for applicable provisions of Cayman law, and in accordance with the terms of Section 5.3, the Depositary shall not be liable for any failure to carry out any instructions to vote any of the Deposited Securities.</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Changes Affecting Deposited Securities</w:t>
      </w:r>
      <w:r>
        <w:rPr>
          <w:rFonts w:ascii="Arial" w:cs="Arial" w:eastAsia="Arial" w:hAnsi="Arial"/>
          <w:sz w:val="16"/>
          <w:szCs w:val="16"/>
          <w:color w:val="auto"/>
        </w:rPr>
        <w:t>. Upon any change in par value, split-up, cancellation, consolidation or any other reclassification of Deposited Securities, or upon any recapitalization, reorganization, merger or consolidation or sale of assets affecting the Company or to which it is otherwise a party, any securities which shall be received by the Depositary or the Custodian in exchange for, or in conversion of or replacement or otherwise in respect of, such Deposited Securities shall, to the extent permitted by law, be treated as new Deposited Securities under this Deposit Agreement, and the Receipts shall, subject to the provisions of this Deposit Agreement and applicable law, evidence American Depositary Shares representing the right to receive such additional securities. Alternatively, the Depositary may, with the Company’s approval, and shall, if the Company shall so request, subject to the terms of the Deposit Agreement and receipt of an opinion of counsel to the Company furnished at the Company’s expense satisfactory to the Depositary that such distributions are not in violation of any applicable laws or regulations, execute and deliver additional Receipts as in the case of a stock dividend on the Shares, or call for the surrender of outstanding Receipts to be exchanged for new Receipts, in either case, as well as in the event of newly deposited Shares, with necessary modifications to the form of Receipt contained in Exhibit A hereto, specifically describing such new Deposited Securities and/or corporate change. The Company agrees to, jointly with the Depositary, amend the Registration Statement on Form F-6 as filed with the Commission to permit the issuance of such new form of Receipts. Notwithstanding the foregoing, in the event that any security so received may not be lawfully distributed to some or all Holders, the Depositary may, with the Company’s approval, and shall, if the Company requests, subject to receipt of an opinion of the Company’s counsel furnished at the Company’s expense satisfactory to the Depositary that such action is not in violation of any applicable laws or regulations, sell such securities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97" w:name="page298"/>
    <w:bookmarkEnd w:id="297"/>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failure to determine that it may be lawful or feasible to make such securities available to Holders in general or to any Holder in particular, (ii) any foreign exchange exposure or loss incurred in connection with such sale, or (iii) any liability to the purchaser of such securities.</w:t>
      </w:r>
    </w:p>
    <w:p>
      <w:pPr>
        <w:spacing w:after="0" w:line="8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Available Information</w:t>
      </w:r>
      <w:r>
        <w:rPr>
          <w:rFonts w:ascii="Arial" w:cs="Arial" w:eastAsia="Arial" w:hAnsi="Arial"/>
          <w:sz w:val="16"/>
          <w:szCs w:val="16"/>
          <w:color w:val="auto"/>
        </w:rPr>
        <w:t>. The Company is subject to the periodic reporting requirements of the Exchange Act applicable to foreign private issuers (as defined in Rule 405 under the Securities Act) and accordingly files certain information with the Commission. These reports and documents can be inspected and copied at the public reference facilities maintained by the Commission located at 100 F Street, N.E., Washington, D.C. 20549.</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Reports</w:t>
      </w:r>
      <w:r>
        <w:rPr>
          <w:rFonts w:ascii="Arial" w:cs="Arial" w:eastAsia="Arial" w:hAnsi="Arial"/>
          <w:sz w:val="16"/>
          <w:szCs w:val="16"/>
          <w:color w:val="auto"/>
        </w:rPr>
        <w:t>. The Depositary shall make available during normal business hour on any Business Day for inspection by Holders at its Principal Office any reports and communications, including any proxy soliciting materials, received from the Company which are both (a) received by the Depositary, the Custodian, or the nominee of either of them as the holder of the Deposited Securities and (b) made generally available to the holders of such Deposited Securities by the Company. The Company agrees to provide to the Depositary, at the Company’s expense, all documents that it provides to the Custodian. The Depositary shall, at the expense of the Company, unless otherwise agreed in writing by the Company and the Depositary and in accordance with Section 5.6, also mail by regular, ordinary mail delivery or by electronic transmission (if agreed by the Company and the Depositary) to Holders copies of such reports when furnished by the Company pursuant to Section 5.6.</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List of Holders</w:t>
      </w:r>
      <w:r>
        <w:rPr>
          <w:rFonts w:ascii="Arial" w:cs="Arial" w:eastAsia="Arial" w:hAnsi="Arial"/>
          <w:sz w:val="16"/>
          <w:szCs w:val="16"/>
          <w:color w:val="auto"/>
        </w:rPr>
        <w:t>. Promptly upon written request by the Company, the Depositary shall furnish to it a list, as of a recent date, of the names, addresses and holdings of American Depositary Shares by all persons in whose names Receipts are registered on the books of the Depositary.</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Taxation; Withholding</w:t>
      </w:r>
      <w:r>
        <w:rPr>
          <w:rFonts w:ascii="Arial" w:cs="Arial" w:eastAsia="Arial" w:hAnsi="Arial"/>
          <w:sz w:val="16"/>
          <w:szCs w:val="16"/>
          <w:color w:val="auto"/>
        </w:rPr>
        <w:t>. The Depositary will, and will instruct the Custodian to, forward to the Company or its agents such information from its records as the Company may reasonably request to enable the Company or its agents to file necessary tax reports with governmental authorities or agencies. The Depositary, the Custodian or the Company and its agents may, but shall not be obligated to, file such reports as are necessary to reduce or eliminate applicable taxes on dividends and on other distributions in respect of Deposited Securities under applicable tax treaties or laws for the Holders and Beneficial Owners. Holders and Beneficial Owners of American Depositary Shares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98" w:name="page299"/>
    <w:bookmarkEnd w:id="298"/>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remit to the appropriate governmental authority or agency any amounts required to be withheld by the Company and owing to such governmental authority or agency. Upon any such withholding, the Company shall remit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(i) any taxes withheld by it; (ii) any taxes withheld by the Custodian, subject to information being provided to the Depositary by the Custodian; and (iii) any taxes withheld by the Company, subject to information being provided to the Depositary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Neither the Depositary, the Custodian nor the Company shall be liable for the failure by any Holder or Beneficial Owner to obtain the benefits of credits on the basis of non-U.S. tax paid against such Holder’s or Beneficial Owner’s income tax liability.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event that the Depositary determines that any distribution in property (including Shares and rights to subscribe therefor) is subject to any tax or other governmental charge which the Depositary is obligated to withhold, the Depositary shall withhold the amount required to be withheld and may by public or private sale dispose of all or a portion of such property (including Shares and rights to subscribe therefor) in such amounts and in such manner as the Depositary deems necessary and practicable to pay such taxes or charges and the Depositary shall distribute the net proceeds of any such sale after deduction of such taxes or charges to the Holders entitled thereto in proportion to the number of American Depositary Shares held by them respectively.</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American Depositary Shares.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Maintenance of Office and Transfer Books by the Registrar</w:t>
      </w:r>
      <w:r>
        <w:rPr>
          <w:rFonts w:ascii="Arial" w:cs="Arial" w:eastAsia="Arial" w:hAnsi="Arial"/>
          <w:sz w:val="16"/>
          <w:szCs w:val="16"/>
          <w:color w:val="auto"/>
        </w:rPr>
        <w:t>. Until termination of this Deposit Agreement in accordance with its terms, the Depositary or if a Registrar for the Receipts shall have been appointed, the Registrar shall maintain in the Borough of Manhattan, the City of New York, an office and facilities for the execution and delivery, registration, registration of transfers, combination and split-up of Receipts, the surrender of Receipts and the delivery and withdrawal of Deposited Securities in accordance with the provisions of this Deposit Agreement.</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Depositary or the Registrar as applicable, shall keep books for the registration of Receipts and transfers of Receipts which at all reasonable times shall be open for inspection by the Company and by the Holders of such Receipts, provided that such inspection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99" w:name="page300"/>
    <w:bookmarkEnd w:id="299"/>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to the Depositary’s or the Registrar’s knowledge, for the purpose of communicating with Holders of such Receipts in the interest of a business or object other than the business of the Company or other than a matter related to this Deposit Agreement or the Receipts.</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Depositary or the Registrar, as applicable, may close the transfer books with respect to the Receipts, at any time or from time to time, when deemed necessary or advisable by it in connection with the performance of its duties hereunder, or at the reasonable written request of the Company.</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any Receipts or the American Depositary Shares evidenced thereby are listed on one or more stock exchanges or automated quotation systems in the United States, the Depositary shall act as Registrar or appoint a Registrar or one or more co-registrars for registration of Receipts and transfers, combinations and split-ups, and to countersign such Receipts in accordance with any requirements of such exchanges or systems. Such Registrar or co-registrars may be removed and a substitute or substitutes appointed by the Depositary.</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If any Receipts or the American Depositary Shares evidenced thereby are listed on one or more securities exchanges, markets or automated quotation systems, (i) the Depositary shall be entitled to, and shall, take or refrain from taking such action(s) as it may deem necessary or appropriate to comply with the requirements of such securities exchange(s), market(s) or automated quotation system(s) applicable to it, notwithstanding any other provision of this Deposit Agreement; and (ii) upon the reasonable request of the Depositary, the Company shall provide the Depositary such information and assistance as may be reasonably necessary for the Depositary to comply with such requirements, to the extent that the Company may lawfully do so.</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Exoneration</w:t>
      </w:r>
      <w:r>
        <w:rPr>
          <w:rFonts w:ascii="Arial" w:cs="Arial" w:eastAsia="Arial" w:hAnsi="Arial"/>
          <w:sz w:val="16"/>
          <w:szCs w:val="16"/>
          <w:color w:val="auto"/>
        </w:rPr>
        <w:t>. Neither the Depositary, the Custodian or the Company shall be obligated to do or perform any act which is inconsistent with the provisions of this Deposit Agreement or shall incur any liability (i) if the Depositary, the Custodian or the Company or their respective controlling persons or agents shall be prevented or forbidden from, or delayed in, doing or performing any act or thing required by the terms of this Deposit Agreement,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the Company’s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this Deposit Agreement or in the Company’s Memorandum and Articles of Association or provisions of or governing Deposited Securities,</w:t>
      </w:r>
    </w:p>
    <w:p>
      <w:pPr>
        <w:spacing w:after="0" w:line="5" w:lineRule="exact"/>
        <w:rPr>
          <w:sz w:val="20"/>
          <w:szCs w:val="20"/>
          <w:color w:val="auto"/>
        </w:rPr>
      </w:pPr>
    </w:p>
    <w:p>
      <w:pPr>
        <w:jc w:val="both"/>
        <w:ind w:right="20" w:firstLine="8"/>
        <w:spacing w:after="0" w:line="302" w:lineRule="auto"/>
        <w:tabs>
          <w:tab w:leader="none" w:pos="30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0" w:right="319" w:bottom="1440" w:gutter="0" w:footer="0" w:header="0"/>
        </w:sectPr>
      </w:pPr>
    </w:p>
    <w:bookmarkStart w:id="300" w:name="page301"/>
    <w:bookmarkEnd w:id="300"/>
    <w:p>
      <w:pPr>
        <w:ind w:right="420" w:firstLine="8"/>
        <w:spacing w:after="0" w:line="306" w:lineRule="auto"/>
        <w:tabs>
          <w:tab w:leader="none" w:pos="297" w:val="left"/>
        </w:tabs>
        <w:numPr>
          <w:ilvl w:val="0"/>
          <w:numId w:val="2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inability by a Holder or Beneficial Owner to benefit from any distribution, offering, right or other benefit which is made available to holders of Deposited Securities but is not, under the terms of this Deposit Agreement, made available to Holders of American Depositary Shares or (v) for any special, consequential, indirect or punitive damages for any breach of the terms of this Deposit Agreement or otherwise.</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Depositary, its controlling persons, its agents, the Custodian and the Company, its controlling persons and its agents may rely and shall be protected in acting upon any written notice, request, opinion or other document believed by it to be genuine and to have been signed or presented by the proper party or parties.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disclaimer of liability under the Securities Act is intended by any provision of this Deposit Agreement.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Standard of Care</w:t>
      </w:r>
      <w:r>
        <w:rPr>
          <w:rFonts w:ascii="Arial" w:cs="Arial" w:eastAsia="Arial" w:hAnsi="Arial"/>
          <w:sz w:val="18"/>
          <w:szCs w:val="18"/>
          <w:color w:val="auto"/>
        </w:rPr>
        <w:t>. The Company and the Depositary and their respective agents assume no obligation and shall not be subject to any liability under this Deposit Agreement or any Receipts to any Holder(s) or Beneficial Owner(s) or other persons, except in accordance with Section 5.8 hereof, provided, that the Company and the Depositary and their respective agents agree to perform their respective obligations specifically set forth in this Deposit Agreement or the applicable ADRs without gross negligence or willful misconduct.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Securities or in respect of the Receipts, which in its opinion may involve it in expense or liability, unless indemnity satisfactory to it against all expenses (including fees and disbursements of counsel) and liabilities be furnished as often as may be required (and no Custodian shall be under any obligation whatsoever with respect to such proceedings, the responsibility of the Custodian being solely to the Depositary).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Depositary and its agents shall not be liable for any failure to carry out any instructions to vote any of the Deposited Securities, or for the manner in which any vote is cast or the effects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this Deposit Agreement or for the failure or timeliness of any notice from the Company, or for any action or non action by it in reliance upon the opinion, advice of or information from legal counsel, accountants, any person representing Shares for deposit, any Holder or any other person believed by it in good faith to be competent to give such advice or information. The Depositary and its agents shall not be liable for any acts or omissions made by a successor depositary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01" w:name="page302"/>
    <w:bookmarkEnd w:id="301"/>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Resignation and Removal of the Depositary; Appointment of Successor Depositary</w:t>
      </w:r>
      <w:r>
        <w:rPr>
          <w:rFonts w:ascii="Arial" w:cs="Arial" w:eastAsia="Arial" w:hAnsi="Arial"/>
          <w:sz w:val="16"/>
          <w:szCs w:val="16"/>
          <w:color w:val="auto"/>
        </w:rPr>
        <w:t>. Subject to any other agreements otherwise agreed in writing between the Company and the Depositary from time to time relating to resignation and removal of the Depositary, the Depositary may at any time resign as Depositary hereunder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Section 6.2 hereof), or (ii) upon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resignation.</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shall use reasonable efforts to appoint such successor depositary, and give notice to the Depositary of such appointment, not more than 90 days after delivery by the Depositary of written notice of resignation as provided in this paragraph. In the event that notice of the appointment of a successor depositary is not provided by the Company in accordance with the preceding sentence, the Depositary shall be entitled to take the actions contemplated in Section 6.2 hereof.</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hereof), or (ii) upon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removal.</w:t>
      </w:r>
    </w:p>
    <w:p>
      <w:pPr>
        <w:spacing w:after="0" w:line="11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Sections 5.8 and 5.9),</w:t>
      </w:r>
    </w:p>
    <w:p>
      <w:pPr>
        <w:spacing w:after="0" w:line="1" w:lineRule="exact"/>
        <w:rPr>
          <w:sz w:val="20"/>
          <w:szCs w:val="20"/>
          <w:color w:val="auto"/>
        </w:rPr>
      </w:pPr>
    </w:p>
    <w:p>
      <w:pPr>
        <w:ind w:left="5620" w:right="4580" w:hanging="5612"/>
        <w:spacing w:after="0" w:line="517" w:lineRule="auto"/>
        <w:tabs>
          <w:tab w:leader="none" w:pos="26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duly assign, transfer and deliver all right, title and interest to the Deposited Securities to such 27</w:t>
      </w:r>
    </w:p>
    <w:p>
      <w:pPr>
        <w:sectPr>
          <w:pgSz w:w="11900" w:h="16838" w:orient="portrait"/>
          <w:cols w:equalWidth="0" w:num="1">
            <w:col w:w="11380"/>
          </w:cols>
          <w:pgMar w:left="240" w:top="280" w:right="279" w:bottom="1440" w:gutter="0" w:footer="0" w:header="0"/>
        </w:sectPr>
      </w:pPr>
    </w:p>
    <w:bookmarkStart w:id="302" w:name="page303"/>
    <w:bookmarkEnd w:id="302"/>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corporation into or with which the Depositary may be merged or consolidated shall be the successor of the Depositary without the execution or filing of any document or any further act.</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The Custodian</w:t>
      </w:r>
      <w:r>
        <w:rPr>
          <w:rFonts w:ascii="Arial" w:cs="Arial" w:eastAsia="Arial" w:hAnsi="Arial"/>
          <w:sz w:val="15"/>
          <w:szCs w:val="15"/>
          <w:color w:val="auto"/>
        </w:rPr>
        <w:t>. The Custodian or its successors in acting hereunder shall be subject at all times and in all respects to the direction of the Depositary for the Deposited Securities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Securities held by it, together with all such records maintained by it as Custodian with respect to such Deposited Securities as the Depositary may request, to the Custodian designated by the Depositary. Whenever the Depositary determines, in its discretion, that it is appropriate to do so, it may appoint an additional entity to act as Custodian with respect to any Deposited Securities, or discharge the Custodian with respect to any Deposited Securities and appoint a substitute custodian, which shall thereafter be Custodian hereunder with respect to the Deposited Securities. After any such change, the Depositary shall give notice thereof in writing to all Holders.</w:t>
      </w:r>
    </w:p>
    <w:p>
      <w:pPr>
        <w:spacing w:after="0" w:line="10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Securities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Notices and Reports</w:t>
      </w:r>
      <w:r>
        <w:rPr>
          <w:rFonts w:ascii="Arial" w:cs="Arial" w:eastAsia="Arial" w:hAnsi="Arial"/>
          <w:sz w:val="16"/>
          <w:szCs w:val="16"/>
          <w:color w:val="auto"/>
        </w:rPr>
        <w:t>. On or before the first date on which the Company gives notice, by publication or otherwise, of any 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English but otherwise in the form given or to be given to holders of Shares or other Deposited Securities. The Company shall also furnish to the Custodian and the Depositary a summary, in English, of any applicable provisions or proposed provisions of the Company’s Memorandum and Articles of Association that may be relevant or pertain to such notice of meeting or be the subject of a vote thereat.</w:t>
      </w:r>
    </w:p>
    <w:p>
      <w:pPr>
        <w:spacing w:after="0" w:line="12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will also transmit to the Depositary (a) English language versions of the other notices, reports and communications which are made generally available by the Company to holders of its Shares or other Deposited Securities and (b)</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03" w:name="page304"/>
    <w:bookmarkEnd w:id="30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English language versions of the Company’s annual and other reports prepared in accordance with the applicable requirements of the Commission. The Depositary shall arrange, at the request of the Company and at the Company’s expense, unless otherwise agreed in writing by the Company and the Depositary, for the mailing of copies thereof to all Holders, or by any other means as agreed between the Company and the Depositary (at the Company’s expense, unless otherwise agreed in writing by the Company and the Depositary) or make such notices, reports and other communications available for inspection by all Holders, provided, that, the Depositary shall have received evidence sufficiently satisfactory to it, including in the form of an opinion of local and/or U.S. counsel or counsel of other applicable jurisdiction, furnished at the expense of the Company, as the Depositary reasonably requests, that the distribution of such notices, reports and any such other communications to Holders from time to time is valid and does not or will not infringe any local, U.S. or other applicable jurisdiction regulatory restrictions or requirements if so distributed and made available to Holders. The Company will timely provide the Depositary with the quantity of such notices, reports, and communications, as requested by the Depositary from time to time, in order for the Depositary to effect such mailings. The Company has delivered to the Depositary and the Custodian a copy of the Company’s Memorandum and Articles of Association along with the provisions of or governing the Shares and any other Deposited Securities issued by the Company or any Affiliate of the Company, in connection with the Shares, in each case along with a certified English translation thereof, and promptly upon any amendment thereto or change therein, the Company shall deliver to the Depositary and the Custodian a copy of such amendment thereto or change therein (along with a certified English translation thereof). The Depositary may rely upon such copy for all purposes of this Deposit Agreement.</w:t>
      </w:r>
    </w:p>
    <w:p>
      <w:pPr>
        <w:spacing w:after="0" w:line="12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Depositary will make available a copy of any such notices, reports or communications issued by the Company and delivered to the Depositary for inspection by the Holders of the Receipts evidencing the American Depositary Shares representing such Shares governed by such provisions at the Depositary’s Principal Office, at the office of the Custodian and at any other designated transfer office.</w:t>
      </w:r>
    </w:p>
    <w:p>
      <w:pPr>
        <w:spacing w:after="0" w:line="140"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Issuance of Additional Shares, ADSs etc</w:t>
      </w:r>
      <w:r>
        <w:rPr>
          <w:rFonts w:ascii="Arial" w:cs="Arial" w:eastAsia="Arial" w:hAnsi="Arial"/>
          <w:sz w:val="16"/>
          <w:szCs w:val="16"/>
          <w:color w:val="auto"/>
        </w:rPr>
        <w:t>. The Company agrees that in the event it or any of its Affiliates proposes (i) an issuance, sale or distribution of additional Shares, (ii) an offering of rights to subscribe for Shares or other Deposited Securities, (iii) an issuance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or (viii) any reclassification, recapitalization, reorganization, merger, consolidation or sale of assets which affects the Deposited Securities,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or the securities laws of the states of the United States). In support of the foregoing, at the request of the Depositary, the Company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304" w:name="page305"/>
    <w:bookmarkEnd w:id="304"/>
    <w:p>
      <w:pPr>
        <w:ind w:right="36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will furnish to the Depositary, at it’s own expense, (a) a written opinion of U.S. counsel (reasonably satisfactory to the Depositary) stating whether or not application of such transaction to Holders and Beneficial Owners (1) requires a registration statement under the Securities Act to be in effect or (2) is exempt from the registration requirements of the Securities Act and (b) an opinion of Cayman Islands counsel (reasonably satisfactory to the Depositary) stating that</w:t>
      </w:r>
    </w:p>
    <w:p>
      <w:pPr>
        <w:spacing w:after="0" w:line="1" w:lineRule="exact"/>
        <w:rPr>
          <w:sz w:val="20"/>
          <w:szCs w:val="20"/>
          <w:color w:val="auto"/>
        </w:rPr>
      </w:pPr>
    </w:p>
    <w:p>
      <w:pPr>
        <w:ind w:firstLine="8"/>
        <w:spacing w:after="0" w:line="288" w:lineRule="auto"/>
        <w:tabs>
          <w:tab w:leader="none" w:pos="24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making the transaction available to Holders and Beneficial Owners does not violate the laws or regulations of the Cayman Islands and (2) all requisite regulatory consents and approvals have been obtained in the Cayman Islands. If the filing of a registration statement is required, the Depositary shall not have any obligation to proceed with the transaction unless it shall have received evidence reasonably satisfactory to it that such registration statement has been declared effective and that such distribution is in accordance with all applicable laws or regulations.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this Deposit Agreement, to prevent such transaction from violating the registration requirements of the Securities Act.</w:t>
      </w:r>
    </w:p>
    <w:p>
      <w:pPr>
        <w:spacing w:after="0" w:line="12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unless such transaction and the securities issuable in such transaction are exempt from registration under the Securities Act or have been registered under the Securities Act (and such registration statement has been declared effective).</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Notwithstanding anything else contained in this Deposit Agreement, nothing in this Deposit Agreement shall be deemed to obligate the Company to file any registration statement in respect of any proposed transaction.</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agrees to indemnify the Depositary, any Custodian and each of their respective directors, officers, employees, agents and Affiliates against, and hold each of them harmless from, any losses, liabilities, taxes, costs, claims, judgments, proceedings, actions, demands and any charges or expenses of any kind whatsoever (including, but not limited to, reasonable attorney’s fees and expenses and, in each case, fees and expenses of counsel, in each case, irrevocable value added tax and any similar tax charged or otherwise imposed in respect thereof) (collectively referred to as “Losses”) which the Depositary or any agent thereof may incur or which may be made against it as a result of or in connection with its appointment or the exercise of its powers and duties under this Agreement or that may arise (a) out of or in connection with any offer, issuance, sale, resale, transfer, deposit or withdrawal of Receipts, American Depositary Shares, the Shares, or other Deposited Securities, as the case may be, (b) out of or in connection with any offering documents in respect thereof or (c) out of or in connection with acts performed or omitted, including, but not limited to, any delivery by the Depositary on behalf of the Company of information regarding the Company in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9" w:right="259" w:bottom="1440" w:gutter="0" w:footer="0" w:header="0"/>
        </w:sectPr>
      </w:pPr>
    </w:p>
    <w:bookmarkStart w:id="305" w:name="page306"/>
    <w:bookmarkEnd w:id="305"/>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connection with this Deposit Agreement, the Receipts, the American Depositary Shares, the Shares, or any Deposited Securities, in any such case (i) by the Depositary, the Custodian or any of their respective directors, officers, employees, agents and Affiliates, except to the extent any such Losses arises out of the negligence or bad faith of any of them, or (ii) by the Company or any of its directors, officers, employees, agents and Affiliates. Notwithstanding the above, in no event shall the Depositary or any of its directors, officers, employees, agents and/or Affiliates be liable for any indirect, special, punitive or consequential damages to the Company, Holders, Beneficial Owners or any other person. The indemnities contained in this paragraph shall not extend to any Loss that arises out of information (or omissions from such information) relating to the Indemnified Persons, furnished in writing to the Company by such Indemnified Person expressly for use in any registration statement, prospectus or proxy statement under the Securities Act.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Depositary agrees to indemnify the Company, its directors, officers, employees, agents and Affiliates against and hold each of them harmless from any Losses which may arise out of acts performed or omitted to be performed by the Depositary or its directors, employees, agents and Affiliates due to their negligence or bad faith.</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under the circumstances. No Indemnified Person shall compromise or settle any action or claim that may give rise to an indemnity hereunder without the consent of the Indemnifying Person, which consent shall not be unreasonably withheld.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set forth in this Section shall survive the termination of this Deposit Agreement and the succession or substitution of any party hereto.</w:t>
      </w:r>
    </w:p>
    <w:p>
      <w:pPr>
        <w:spacing w:after="0" w:line="19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Fees and Charges of Depositary</w:t>
      </w:r>
      <w:r>
        <w:rPr>
          <w:rFonts w:ascii="Arial" w:cs="Arial" w:eastAsia="Arial" w:hAnsi="Arial"/>
          <w:sz w:val="16"/>
          <w:szCs w:val="16"/>
          <w:color w:val="auto"/>
        </w:rPr>
        <w:t>. The Company, the Holders, the Beneficial Owners, and persons depositing Shares or surrendering ADSs for cancellation and withdrawal of Deposited Securities shall be required to pay to the Depositary the Depositary’s fees and related charges identified as payable by them respectively as provided for under Article 9 of the Form of Receipt attached hereto as Exhibits A and B; provided, however, that no fees shall be payable upon distribution of cash dividends so long as the charging of such fee is prohibited by the exchange, if any, upon which the ADSs are listed. All fees and charges so payable may, at any time and from time to time, be changed by agreement between the Depositary and the Company, but, in the case of fees and charges payable by Holders and Beneficial Owners, only in the manner contemplated in Section 6.1. The Depositary shall provide, without charge, a copy of its latest fee schedule to anyone upon request.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9" w:right="259" w:bottom="1440" w:gutter="0" w:footer="0" w:header="0"/>
        </w:sectPr>
      </w:pPr>
    </w:p>
    <w:bookmarkStart w:id="306" w:name="page307"/>
    <w:bookmarkEnd w:id="306"/>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Depositary and the Company may reach separate agreement in relation to the payment of any additional remuneration to the Depositary in respect of any exceptional duties which the Depositary finds necessary or desirable and agreed by both parties in the performance of its obligations hereunder and in respect of the actual costs and expenses of the Depositary in respect of any notices required to be given to the Holders in accordance with Article 20 of the Form of Receipt attached hereto as Exhibits A and B.</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any payment by the Company to the Depositary:</w:t>
      </w:r>
    </w:p>
    <w:p>
      <w:pPr>
        <w:spacing w:after="0" w:line="90" w:lineRule="exact"/>
        <w:rPr>
          <w:sz w:val="20"/>
          <w:szCs w:val="20"/>
          <w:color w:val="auto"/>
        </w:rPr>
      </w:pPr>
    </w:p>
    <w:p>
      <w:pPr>
        <w:ind w:left="900" w:right="140" w:hanging="446"/>
        <w:spacing w:after="0" w:line="332" w:lineRule="auto"/>
        <w:tabs>
          <w:tab w:leader="none" w:pos="90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all fees, taxes, duties, charges, costs and expenses which are payable by the Company shall be paid or be procured to be paid by the Company (and any such amounts which are paid by the Depositary shall be reimbursed to the Depositary by the Company upon demand therefor); and</w:t>
      </w:r>
    </w:p>
    <w:p>
      <w:pPr>
        <w:spacing w:after="0" w:line="4" w:lineRule="exact"/>
        <w:rPr>
          <w:rFonts w:ascii="Arial" w:cs="Arial" w:eastAsia="Arial" w:hAnsi="Arial"/>
          <w:sz w:val="16"/>
          <w:szCs w:val="16"/>
          <w:color w:val="auto"/>
        </w:rPr>
      </w:pPr>
    </w:p>
    <w:p>
      <w:pPr>
        <w:ind w:left="900" w:right="400" w:hanging="446"/>
        <w:spacing w:after="0" w:line="357" w:lineRule="auto"/>
        <w:tabs>
          <w:tab w:leader="none" w:pos="90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such payment shall be subject to all necessary Cayman Islands exchange control and other consents and approvals having been obtained. The Company undertakes to use its reasonable endeavours to obtain all necessary approvals that are required to be obtained by it in this connection.</w:t>
      </w:r>
    </w:p>
    <w:p>
      <w:pPr>
        <w:ind w:left="900" w:right="140" w:hanging="446"/>
        <w:spacing w:after="0" w:line="256" w:lineRule="auto"/>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Depositary may request, in its sole but reasonable discretion after reasonable consultation with the Company, an opinion of counsel regarding English law, the laws of the Cayman Islands, or the laws of any other relevant jurisdiction, to be furnished at the expense of the Company, if at any time it deems it necessary to seek such an opinion of counsel regarding the validity of any action to be taken or instructed to be taken under this Agreement.</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agrees to promptly pay to the Depositary such other fees, charges and expenses and to reimburse the Depositary for such out-of-pocket expenses as the Depositary and the Company may agree to in writing from time to time. Responsibility for payment of such charges may at any time and from time to time be changed by agreement between the Company and the Depositary. Unless otherwise agreed, the Depositary shall present its statement for such expenses and fees or charges to the Company once every three months.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payments by the Company to the Depositary under this Section 5.9 shall be paid without set-off or counterclaim, and free and clear of and without deduction or withholding for or on account of, any present or future taxes, levies, imports, duties, fees, assessments or other charges of whatever nature, imposed by the Cayman Islands or by any department, agency or other political subdivision or taxing authority thereof or therein, and all interest, penalties or similar liabilities with respect thereto.</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right of the Depositary to receive payment of fees, charges and expenses as provided above shall survive the termination of this Deposit Agreement. As to any Depositary, upon the resignation or removal of such Depositary as described in Section 5.4 hereof, such right shall extend for those fees, charges and expenses incurred prior to the effectiveness of such resignation or removal.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307" w:name="page308"/>
    <w:bookmarkEnd w:id="307"/>
    <w:p>
      <w:pPr>
        <w:ind w:right="4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5.10 </w:t>
      </w:r>
      <w:r>
        <w:rPr>
          <w:rFonts w:ascii="Arial" w:cs="Arial" w:eastAsia="Arial" w:hAnsi="Arial"/>
          <w:sz w:val="16"/>
          <w:szCs w:val="16"/>
          <w:u w:val="single" w:color="auto"/>
          <w:color w:val="auto"/>
        </w:rPr>
        <w:t>Restricted Securities Owners/Ownership Restrictions</w:t>
      </w:r>
      <w:r>
        <w:rPr>
          <w:rFonts w:ascii="Arial" w:cs="Arial" w:eastAsia="Arial" w:hAnsi="Arial"/>
          <w:sz w:val="16"/>
          <w:szCs w:val="16"/>
          <w:color w:val="auto"/>
        </w:rPr>
        <w:t>. From time to time or upon the reasonable request of the Depositary, the Company shall provide to the Depositary a list setting forth, to the actual knowledge of the Company, those persons or entities who beneficially own Restricted Securities and the Company shall update that list on a regular basis. The Depositary may rely on such a list or update but shall not be liable for any action or omission made in reliance thereon. The Company agrees to advise in writing each of the persons or entities who, to the knowledge of the Company, holds Restricted Securities that such Restricted Securities are ineligible for deposit hereunder. The Company shall, in accordance with Article 24 of the Form of Receipt attached hereto as Exhibits A and B, inform Owners and Beneficial Owners and the Depositary of any other limitations on ownership of Shares that the Owners and Beneficial Owners may be subject to by reason of the number of American Depositary Shares held under the Articles of Incorporation of the Company or applicable Cayman Islands law, as such restrictions may be in force from time to time.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AND TERMINATION</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Amendment/Supplement</w:t>
      </w:r>
      <w:r>
        <w:rPr>
          <w:rFonts w:ascii="Arial" w:cs="Arial" w:eastAsia="Arial" w:hAnsi="Arial"/>
          <w:sz w:val="16"/>
          <w:szCs w:val="16"/>
          <w:color w:val="auto"/>
        </w:rPr>
        <w:t>. Subject to the terms and conditions of this Section 6.1 and applicable law, the Receipts outstanding at any time, the provisions of this Deposit Agreement and the form of Receipt attached hereto and to be issued under the terms hereof may at any time and from time to time be amended or supplemented by written agreement between the Company and the Depositary in any respect which they may deem necessary or desirable and not materially prejudicial to the Holders without the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The parties hereto agree that any amendments or supplements which (i) are reasonably necessary (as agreed by the Company and the Depositary) in order for (a) the American Depositary Shares to be registered on Form F-6 under the Securities Act or (b) the American Depositary Shares or the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American Depositary Share or Shares, to consent and agree to such amendment or supplement and to be bound by the Deposit Agreement as amended and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9" w:right="259" w:bottom="1440" w:gutter="0" w:footer="0" w:header="0"/>
        </w:sectPr>
      </w:pPr>
    </w:p>
    <w:bookmarkStart w:id="308" w:name="page309"/>
    <w:bookmarkEnd w:id="308"/>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rules or regulations.</w:t>
      </w:r>
    </w:p>
    <w:p>
      <w:pPr>
        <w:spacing w:after="0" w:line="14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Termination</w:t>
      </w:r>
      <w:r>
        <w:rPr>
          <w:rFonts w:ascii="Arial" w:cs="Arial" w:eastAsia="Arial" w:hAnsi="Arial"/>
          <w:sz w:val="16"/>
          <w:szCs w:val="16"/>
          <w:color w:val="auto"/>
        </w:rPr>
        <w:t>. The Depositary shall, at any time at the written direction of the Company, terminate this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this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the Depositary may terminate this Deposit Agreement by mailing notice of such termination to the Holders of all Receipts then outstanding at least 30 days prior to the date fixed for such termination. On and after the date of termination of this Deposit Agreement, the Holder will, upon surrender of such Receipt at the Principal Office of the Depositary, upon the payment of the charges of the Depositary for the surrender of Receipts referred to in Section 2.6 and subject to the conditions and restrictions therein set forth, and upon payment of any applicable taxes or governmental charges, be entitled to delivery, to him or upon his order, of the amount of Deposited Securities represented by such Receipt. If any Receipts shall remain outstanding after the date of termination of this Deposit Agreement, the Registrar thereafter shall discontinue the registration of transfers of Receipts, and the Depositary shall suspend the distribution of dividends to the Holders thereof, and shall not give any further notices or perform any further acts under this Deposit Agreement, except that the Depositary shall continue to collect dividends and other distributions pertaining to Deposited Securities, shall sell rights or other property as provided in this Deposit Agreement, and shall continue to deliver Deposited Securities, subject to the conditions and restrictions set forth in Section 2.6,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this Deposit Agreement and any applicable taxes or governmental charges or assessments). At any time after the expiration of six months from the date of termination of this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this Deposit Agreement with respect to the Receipts and the Shares, Deposited Securities and American Depositary Shares, except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09" w:name="page310"/>
    <w:bookmarkEnd w:id="309"/>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account for such net proceeds and other cash (after deducting, or charging, as the case may be, in each case, the charges of the Depositary for the surrender of a Receipt, any expenses for the account of the Holder in accordance with the terms and conditions of this Deposit Agreement and any applicable taxes or governmental charges or assessments). Upon the termination of this Deposit Agreement, the Company shall be discharged from all obligations under this Deposit Agreement except for its obligations to the Depositary hereunder.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Counterparts</w:t>
      </w:r>
      <w:r>
        <w:rPr>
          <w:rFonts w:ascii="Arial" w:cs="Arial" w:eastAsia="Arial" w:hAnsi="Arial"/>
          <w:sz w:val="18"/>
          <w:szCs w:val="18"/>
          <w:color w:val="auto"/>
        </w:rPr>
        <w:t>. This Deposit Agreement may be executed in any number of counterparts, each of which shall be deemed an original, and all of such counterparts together shall constitute one and the same agreement. Copies of this Deposit Agreement shall be maintained with the Depositary and shall be open to inspection by any Holder during business hours.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This Deposit Agreement is for the exclusive benefit of the parties hereto (and their successors) and shall not be deemed to give any legal or equitable right, remedy or claim whatsoever to any other person, except to the extent specifically set forth in this Deposit Agreement. Nothing in this Deposit Agreement shall be deemed to give rise to a partnership or joint venture among the parties hereto nor establish a fiduciary or similar relationship among the parties. The parties hereto acknowledge and agree that (i) the Depositary and its Affiliates may at any time have multiple banking relationships with the Company and its Affiliates, (ii) the Depositary and its Affiliates may be engaged at any time in transactions in which parties adverse to the Company or the Holders or Beneficial Owners may have interests and (iii) nothing contained in this Agreement shall (a) preclude the Depositary or any of its Affiliates from engaging in such transactions or establishing or maintaining such relationships, or (b) obligate the Depositary or any of its Affiliates to disclose such transactions or relationships or to account for any profit made or payment received in such transactions or relationships.</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Holders and Beneficial Owners as Parties; Binding Effect</w:t>
      </w:r>
      <w:r>
        <w:rPr>
          <w:rFonts w:ascii="Arial" w:cs="Arial" w:eastAsia="Arial" w:hAnsi="Arial"/>
          <w:sz w:val="18"/>
          <w:szCs w:val="18"/>
          <w:color w:val="auto"/>
        </w:rPr>
        <w:t>. The Holders and Beneficial Owners from time to time of American Depositary Shares shall be parties to the Deposit Agreement and shall be bound by all of the terms and conditions hereof and of any Receipt by acceptance hereof or any beneficial interest therein.</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to be given to the Company shall be deemed to have been duly given if personally delivered or sent by mail, air courier or cable, telex, facsimile transmission or electronic transmission, confirmed by letter, addressed to New Oriental Education &amp; Technology Group Inc., No. 6 Hai Dian Zhong Street, 9th Floor, Haidian District, Beijing 100080,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9" w:right="239" w:bottom="1440" w:gutter="0" w:footer="0" w:header="0"/>
        </w:sectPr>
      </w:pPr>
    </w:p>
    <w:bookmarkStart w:id="310" w:name="page311"/>
    <w:bookmarkEnd w:id="310"/>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People’s Republic of China, Attention: Louis T. Hsieh, Chief Financial Officer, or to any other address which the Company may specify in writing to the Depositary.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and all notices to be given to the Depositary shall be deemed to have been duly given if personally delivered or sent by mail, air courier or cable, telex, facsimile transmission or by electronic transmission (if agreed by the Company and the Depositary), at the Company’s expense, unless otherwise agreed in writing between the Company and the Depositary, confirmed by letter, addressed to Deutsche Bank Trust Company Americas, 60 Wall Street, New York, New York 10005, USA Attention: ADR Department, telephone: (001) 212 602-1044, facsimile: (001) 212 797 0327 or to any other address which the Depositary may specify in writing to the Company.</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Any and all notices to be given to any Holder shall be deemed to have been duly given if personally delivered or sent by mail or cable, telex, facsimile transmission or by electronic transmission (if agreed by the Company and the Depositary), at the Company’s expense, unless otherwise agreed in writing between the Company and the Depositary, addressed to such Holder at the address of such Holder as it appears on the transfer books for Receipts of the Depositary, or, if such Holder shall have filed with the Depositary a written request that notices intended for such Holder be mailed to some other address, at the address specified in such request. Notice to Holders shall be deemed to be notice to Beneficial Owners for all purposes of this Deposit Agreement.</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Delivery of a notice sent by mail, air courier or cable, telex, facsimile or electronic transmission shall be deemed to be effective at the time when a duly addressed letter containing the same (or a confirmation thereof in the case of a cable, telex, facsimile or electronic transmission) is deposited, postage prepaid, in a post-office letter box or delivered to an air courier service. The Depositary or the Company may, however, act upon any cable, telex, facsimile or electronic transmission received by it from the other or from any Holder, notwithstanding that such cable, telex, facsimile or electronic transmission shall not subsequently be confirmed by letter as aforesaid, as the case may be.</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 This Deposit Agreement and the Receipts shall be interpreted in accordance with, and all rights hereunder and thereunder and provisions hereof and thereof shall be governed by, the laws of the State of New York without reference to the principles of choice of law thereof. 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this Deposit Agreement and, for such purposes, each irrevocably submits to the non-exclusive jurisdiction of such courts. The Company hereby irrevocably designates, appoints and empowers CT Corporation System, (the “Agent”) now at 111 Eighth Avenue, New York, New York 10011,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9" w:right="259" w:bottom="1440" w:gutter="0" w:footer="0" w:header="0"/>
        </w:sectPr>
      </w:pPr>
    </w:p>
    <w:bookmarkStart w:id="311" w:name="page312"/>
    <w:bookmarkEnd w:id="31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this Section 7.6. If for any reason the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hereof. The Company agrees that the failure of the Agent to give any notice of such service to it shall not impair or affect in any way the validity of such service or any judgment rendered in any action or proceeding based thereon.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Notwithstanding the foregoing, the Depositary and the Company unconditionally agree that in the event that a Holder or Beneficial Owner brings a suit, action or proceeding against (a) the Company, (b) the Depositary in its capacity as Depositary under this Deposit Agreement or (c) against both the Company and the Depositary,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and the Depositary agree that, notwithstanding the foregoing, with regard to any claim or dispute or difference of whatever nature between the parties hereto arising directly or indirectly from the relationship created by this Deposit Agreement, the Depositary, in its sole discretion, shall be entitled to refer such dispute or difference for final settlement by arbitration (“Arbitration”) in accordance with the applicable rules of the American Arbitration Association (the “Rules”) then in force, by a sole arbitrator appointed in accordance with the Rules. The seat and place of any reference to Arbitration shall be New York, New York State. The procedural law of any Arbitration shall be New York law and the language to be used in the Arbitration shall be English. The fees of the arbitrator and other costs incurred by the parties in connection with such Arbitration shall be paid by the party that is unsuccessful in such Arbitration.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312" w:name="page313"/>
    <w:bookmarkEnd w:id="3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this Section 7.6 shall survive any termination of this Deposit Agreement, in whole or in part.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Assignment</w:t>
      </w:r>
      <w:r>
        <w:rPr>
          <w:rFonts w:ascii="Arial" w:cs="Arial" w:eastAsia="Arial" w:hAnsi="Arial"/>
          <w:sz w:val="18"/>
          <w:szCs w:val="18"/>
          <w:color w:val="auto"/>
        </w:rPr>
        <w:t>. Subject to the provisions of Section 5.4 hereof, this Deposit Agreement may not be assigned by either the Company or the Depositary.</w:t>
      </w:r>
    </w:p>
    <w:p>
      <w:pPr>
        <w:spacing w:after="0" w:line="126"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Agents</w:t>
      </w:r>
      <w:r>
        <w:rPr>
          <w:rFonts w:ascii="Arial" w:cs="Arial" w:eastAsia="Arial" w:hAnsi="Arial"/>
          <w:sz w:val="16"/>
          <w:szCs w:val="16"/>
          <w:color w:val="auto"/>
        </w:rPr>
        <w:t>. The Depositary shall be entitled, in its sole but reasonable discretion, to appoint one or more agents (the “</w:t>
      </w:r>
      <w:r>
        <w:rPr>
          <w:rFonts w:ascii="Arial" w:cs="Arial" w:eastAsia="Arial" w:hAnsi="Arial"/>
          <w:sz w:val="16"/>
          <w:szCs w:val="16"/>
          <w:b w:val="1"/>
          <w:bCs w:val="1"/>
          <w:color w:val="auto"/>
        </w:rPr>
        <w:t>Agents</w:t>
      </w:r>
      <w:r>
        <w:rPr>
          <w:rFonts w:ascii="Arial" w:cs="Arial" w:eastAsia="Arial" w:hAnsi="Arial"/>
          <w:sz w:val="16"/>
          <w:szCs w:val="16"/>
          <w:color w:val="auto"/>
        </w:rPr>
        <w:t xml:space="preserve">”) of which it shall have control for the purpose, </w:t>
      </w:r>
      <w:r>
        <w:rPr>
          <w:rFonts w:ascii="Arial" w:cs="Arial" w:eastAsia="Arial" w:hAnsi="Arial"/>
          <w:sz w:val="16"/>
          <w:szCs w:val="16"/>
          <w:i w:val="1"/>
          <w:iCs w:val="1"/>
          <w:color w:val="auto"/>
        </w:rPr>
        <w:t>inter alia</w:t>
      </w:r>
      <w:r>
        <w:rPr>
          <w:rFonts w:ascii="Arial" w:cs="Arial" w:eastAsia="Arial" w:hAnsi="Arial"/>
          <w:sz w:val="16"/>
          <w:szCs w:val="16"/>
          <w:color w:val="auto"/>
        </w:rPr>
        <w:t>, of making distributions to the Holders or otherwise carrying out its obligations under this Agreement.</w:t>
      </w:r>
    </w:p>
    <w:p>
      <w:pPr>
        <w:spacing w:after="0" w:line="8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Exclusivity</w:t>
      </w:r>
      <w:r>
        <w:rPr>
          <w:rFonts w:ascii="Arial" w:cs="Arial" w:eastAsia="Arial" w:hAnsi="Arial"/>
          <w:sz w:val="16"/>
          <w:szCs w:val="16"/>
          <w:color w:val="auto"/>
        </w:rPr>
        <w:t>. The Company agrees not to appoint any other depositary for the issuance or administration of depositary receipts evidencing any class of stock of the Company so long as Deutsche Bank Trust Company Americas is acting as Depositary hereunder.</w:t>
      </w:r>
    </w:p>
    <w:p>
      <w:pPr>
        <w:spacing w:after="0" w:line="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Compliance with U.S. Securities Laws</w:t>
      </w:r>
      <w:r>
        <w:rPr>
          <w:rFonts w:ascii="Arial" w:cs="Arial" w:eastAsia="Arial" w:hAnsi="Arial"/>
          <w:sz w:val="18"/>
          <w:szCs w:val="18"/>
          <w:color w:val="auto"/>
        </w:rPr>
        <w:t>. Notwithstanding anything in this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Titles</w:t>
      </w:r>
      <w:r>
        <w:rPr>
          <w:rFonts w:ascii="Arial" w:cs="Arial" w:eastAsia="Arial" w:hAnsi="Arial"/>
          <w:sz w:val="18"/>
          <w:szCs w:val="18"/>
          <w:color w:val="auto"/>
        </w:rPr>
        <w:t>. All references in this Deposit Agreement to exhibits, articles, sections, subsections, and other subdivisions refer to the exhibits, articles, sections, subsections and other subdivisions of this Deposit Agreement unless expressly provided otherwise. The words “this Deposit Agreement”, “herein”, “hereof”, “hereby”, “hereunder”, and words of similar import refer to the Deposit Agreement as a whole as in effect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this Deposit Agreement are included for convenience only and shall be disregarded in construing the language contained in this Deposit Agreement.</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79" w:right="299" w:bottom="1440" w:gutter="0" w:footer="0" w:header="0"/>
        </w:sectPr>
      </w:pPr>
    </w:p>
    <w:bookmarkStart w:id="313" w:name="page314"/>
    <w:bookmarkEnd w:id="313"/>
    <w:p>
      <w:pPr>
        <w:ind w:right="1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NEW ORIENTAL EDUCATION &amp; TECHNOLOGY GROUP INC. and DEUTSCHE BANK TRUST COMPANY AMERICAS have duly executed this Deposit Agreement as of the day and year first above set forth and all Holders and Beneficial Owners shall become parties hereto upon acceptance by them of American Depositary Shares evidenced by Receipts issued in accordance with the terms hereof.</w:t>
      </w:r>
    </w:p>
    <w:p>
      <w:pPr>
        <w:spacing w:after="0" w:line="14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NEW ORIENTAL EDUCATION &amp; TECHNOLOGY GROUP INC.</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280" w:right="219" w:bottom="1440" w:gutter="0" w:footer="0" w:header="0"/>
        </w:sectPr>
      </w:pPr>
    </w:p>
    <w:bookmarkStart w:id="314" w:name="page315"/>
    <w:bookmarkEnd w:id="314"/>
    <w:p>
      <w:pPr>
        <w:spacing w:after="0"/>
        <w:tabs>
          <w:tab w:leader="none" w:pos="10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Number</w:t>
      </w:r>
      <w:r>
        <w:rPr>
          <w:sz w:val="20"/>
          <w:szCs w:val="20"/>
          <w:color w:val="auto"/>
        </w:rPr>
        <w:tab/>
      </w:r>
      <w:r>
        <w:rPr>
          <w:rFonts w:ascii="Arial" w:cs="Arial" w:eastAsia="Arial" w:hAnsi="Arial"/>
          <w:sz w:val="18"/>
          <w:szCs w:val="18"/>
          <w:color w:val="auto"/>
        </w:rPr>
        <w:t>CUSIP</w:t>
      </w:r>
    </w:p>
    <w:p>
      <w:pPr>
        <w:spacing w:after="0" w:line="212" w:lineRule="exact"/>
        <w:rPr>
          <w:sz w:val="20"/>
          <w:szCs w:val="20"/>
          <w:color w:val="auto"/>
        </w:rPr>
      </w:pPr>
    </w:p>
    <w:p>
      <w:pPr>
        <w:jc w:val="center"/>
        <w:ind w:left="7780"/>
        <w:spacing w:after="0"/>
        <w:rPr>
          <w:sz w:val="20"/>
          <w:szCs w:val="20"/>
          <w:color w:val="auto"/>
        </w:rPr>
      </w:pPr>
      <w:r>
        <w:rPr>
          <w:rFonts w:ascii="Arial" w:cs="Arial" w:eastAsia="Arial" w:hAnsi="Arial"/>
          <w:sz w:val="18"/>
          <w:szCs w:val="18"/>
          <w:color w:val="auto"/>
        </w:rPr>
        <w:t>American Depositary Shares (Each</w:t>
      </w:r>
    </w:p>
    <w:p>
      <w:pPr>
        <w:spacing w:after="0" w:line="15" w:lineRule="exact"/>
        <w:rPr>
          <w:sz w:val="20"/>
          <w:szCs w:val="20"/>
          <w:color w:val="auto"/>
        </w:rPr>
      </w:pPr>
    </w:p>
    <w:p>
      <w:pPr>
        <w:jc w:val="center"/>
        <w:ind w:left="7780"/>
        <w:spacing w:after="0"/>
        <w:rPr>
          <w:sz w:val="20"/>
          <w:szCs w:val="20"/>
          <w:color w:val="auto"/>
        </w:rPr>
      </w:pPr>
      <w:r>
        <w:rPr>
          <w:rFonts w:ascii="Arial" w:cs="Arial" w:eastAsia="Arial" w:hAnsi="Arial"/>
          <w:sz w:val="18"/>
          <w:szCs w:val="18"/>
          <w:color w:val="auto"/>
        </w:rPr>
        <w:t>American Depositary Share</w:t>
      </w:r>
    </w:p>
    <w:p>
      <w:pPr>
        <w:spacing w:after="0" w:line="9" w:lineRule="exact"/>
        <w:rPr>
          <w:sz w:val="20"/>
          <w:szCs w:val="20"/>
          <w:color w:val="auto"/>
        </w:rPr>
      </w:pPr>
    </w:p>
    <w:p>
      <w:pPr>
        <w:jc w:val="center"/>
        <w:ind w:left="7780"/>
        <w:spacing w:after="0"/>
        <w:tabs>
          <w:tab w:leader="none" w:pos="160" w:val="left"/>
        </w:tabs>
        <w:rPr>
          <w:sz w:val="20"/>
          <w:szCs w:val="20"/>
          <w:color w:val="auto"/>
        </w:rPr>
      </w:pPr>
      <w:r>
        <w:rPr>
          <w:rFonts w:ascii="Arial" w:cs="Arial" w:eastAsia="Arial" w:hAnsi="Arial"/>
          <w:sz w:val="18"/>
          <w:szCs w:val="18"/>
          <w:color w:val="auto"/>
        </w:rPr>
        <w:t>representing [</w:t>
      </w:r>
      <w:r>
        <w:rPr>
          <w:sz w:val="20"/>
          <w:szCs w:val="20"/>
          <w:color w:val="auto"/>
        </w:rPr>
        <w:tab/>
      </w:r>
      <w:r>
        <w:rPr>
          <w:rFonts w:ascii="Arial" w:cs="Arial" w:eastAsia="Arial" w:hAnsi="Arial"/>
          <w:sz w:val="16"/>
          <w:szCs w:val="16"/>
          <w:color w:val="auto"/>
        </w:rPr>
        <w:t>] [of]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5985510</wp:posOffset>
            </wp:positionH>
            <wp:positionV relativeFrom="paragraph">
              <wp:posOffset>-17780</wp:posOffset>
            </wp:positionV>
            <wp:extent cx="11176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jc w:val="center"/>
        <w:ind w:left="7780"/>
        <w:spacing w:after="0"/>
        <w:rPr>
          <w:sz w:val="20"/>
          <w:szCs w:val="20"/>
          <w:color w:val="auto"/>
        </w:rPr>
      </w:pPr>
      <w:r>
        <w:rPr>
          <w:rFonts w:ascii="Arial" w:cs="Arial" w:eastAsia="Arial" w:hAnsi="Arial"/>
          <w:sz w:val="18"/>
          <w:szCs w:val="18"/>
          <w:color w:val="auto"/>
        </w:rPr>
        <w:t>Common Shares)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FACE OF RECEIPT]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RECEIPT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SHARES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DEPOSITED ORDINARY SHARES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ORIENTAL EDUCATION &amp; TECHNOLOGY GROUP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(Incorporated under the laws of the Cayman Islands)</w:t>
      </w:r>
    </w:p>
    <w:p>
      <w:pPr>
        <w:spacing w:after="0" w:line="171" w:lineRule="exact"/>
        <w:rPr>
          <w:sz w:val="20"/>
          <w:szCs w:val="20"/>
          <w:color w:val="auto"/>
        </w:rPr>
      </w:pPr>
    </w:p>
    <w:p>
      <w:pPr>
        <w:ind w:left="460"/>
        <w:spacing w:after="0"/>
        <w:tabs>
          <w:tab w:leader="none" w:pos="10100" w:val="left"/>
        </w:tabs>
        <w:rPr>
          <w:sz w:val="20"/>
          <w:szCs w:val="20"/>
          <w:color w:val="auto"/>
        </w:rPr>
      </w:pPr>
      <w:r>
        <w:rPr>
          <w:rFonts w:ascii="Arial" w:cs="Arial" w:eastAsia="Arial" w:hAnsi="Arial"/>
          <w:sz w:val="18"/>
          <w:szCs w:val="18"/>
          <w:color w:val="auto"/>
        </w:rPr>
        <w:t>DEUTSCHE BANK TRUST COMPANY AMERICAS, as depositary (herein called the “Depositary”), hereby certifies that</w:t>
      </w:r>
      <w:r>
        <w:rPr>
          <w:sz w:val="20"/>
          <w:szCs w:val="20"/>
          <w:color w:val="auto"/>
        </w:rPr>
        <w:tab/>
      </w:r>
      <w:r>
        <w:rPr>
          <w:rFonts w:ascii="Arial" w:cs="Arial" w:eastAsia="Arial" w:hAnsi="Arial"/>
          <w:sz w:val="16"/>
          <w:szCs w:val="16"/>
          <w:color w:val="auto"/>
        </w:rPr>
        <w:t>is the owner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-13970</wp:posOffset>
            </wp:positionV>
            <wp:extent cx="55753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20" w:firstLine="922"/>
        <w:spacing w:after="0" w:line="290" w:lineRule="auto"/>
        <w:rPr>
          <w:sz w:val="20"/>
          <w:szCs w:val="20"/>
          <w:color w:val="auto"/>
        </w:rPr>
      </w:pPr>
      <w:r>
        <w:rPr>
          <w:rFonts w:ascii="Arial" w:cs="Arial" w:eastAsia="Arial" w:hAnsi="Arial"/>
          <w:sz w:val="16"/>
          <w:szCs w:val="16"/>
          <w:color w:val="auto"/>
        </w:rPr>
        <w:t>American Depositary Shares (hereinafter “ADS”), representing deposited common shares, each of Par Value of $0.01 including evidence of rights to receive such ordinary shares (the “Shares”) of New Oriental Education &amp; Technology Group Inc. (the “Company”), a company incorporated under the laws of the Cayman Islands (the “Company”). As of the date of the Deposit Agreement (hereinafter referred to), each ADS represents [ ] Share[s] deposited under the Deposit Agreement with the Custodian which at the date of execution of the Deposit Agreement is Deutsche Bank AG, Hong Kong Branch (the “Custodian”). The ratio of Depositary Shares to shares of stock is subject to subsequent amendment as provided in Article IV of the Deposit Agreement. The Depositary’s Principal Office is located at 60 Wall Street, New York, New York 10005,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-733425</wp:posOffset>
            </wp:positionV>
            <wp:extent cx="55753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-459105</wp:posOffset>
            </wp:positionV>
            <wp:extent cx="11176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8" w:lineRule="exact"/>
        <w:rPr>
          <w:sz w:val="20"/>
          <w:szCs w:val="20"/>
          <w:color w:val="auto"/>
        </w:rPr>
      </w:pPr>
    </w:p>
    <w:p>
      <w:pPr>
        <w:ind w:firstLine="464"/>
        <w:spacing w:after="0" w:line="256" w:lineRule="auto"/>
        <w:tabs>
          <w:tab w:leader="none" w:pos="705"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The Deposit Agreement</w:t>
      </w:r>
      <w:r>
        <w:rPr>
          <w:rFonts w:ascii="Arial" w:cs="Arial" w:eastAsia="Arial" w:hAnsi="Arial"/>
          <w:sz w:val="18"/>
          <w:szCs w:val="18"/>
          <w:color w:val="auto"/>
        </w:rPr>
        <w:t>. This American Depositary Receipt is one of an issue of American Depositary Receipts (“Receipts”), all issued and to be issued upon the terms and conditions set forth in the Deposit Agreement, dated as of [•], 2006 (as amended from time to time, the “Deposit Agreement”), by and among the Company, the Depositary, and all Holders and Beneficial Owners from time to time of Receipts issued thereunder, each of whom by accepting a Receipt agrees to become a party thereto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9" w:right="239" w:bottom="1440" w:gutter="0" w:footer="0" w:header="0"/>
        </w:sectPr>
      </w:pPr>
    </w:p>
    <w:bookmarkStart w:id="315" w:name="page316"/>
    <w:bookmarkEnd w:id="315"/>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becomes bound by all the terms and conditions thereof. The Deposit Agreement sets forth the rights and obligations of Holders and Beneficial Owners of Receipts and the rights and duties of the Depositary in respect of the Shares deposited thereunder and any and all other securities, property and cash from time to time, received in respect of such Shares and held thereunder (such Shares, other securities, property and cash are herein called “Deposited Securities”). Copies of the Deposit Agreement are on file at the Principal Office of the Depositary and the Custodian.</w:t>
      </w:r>
    </w:p>
    <w:p>
      <w:pPr>
        <w:spacing w:after="0" w:line="113"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Each owner and each Beneficial Owner, upon acceptance of any ADSs (or any interest therein) issued in accordance with the terms and conditions of the Deposit Agreement, shall be deemed for all purposes to (a) be a party to and bound by the terms of the Deposit Agreement and applicable ADR(s), and</w:t>
      </w:r>
    </w:p>
    <w:p>
      <w:pPr>
        <w:ind w:right="20" w:firstLine="8"/>
        <w:spacing w:after="0" w:line="254" w:lineRule="auto"/>
        <w:tabs>
          <w:tab w:leader="none" w:pos="24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statements made on the face and reverse of this Receipt are summaries of certain provisions of the Deposit Agreement and the Company’s Memorandum and Articles of Association (as in effect on the date of the Deposit Agreement) and are qualified by and subject to the detailed provisions of the Deposit Agreement, to which reference is hereby made. All capitalized terms used herein which are not otherwise defined herein shall have the meanings ascribed thereto in the Deposit Agreement. The Depositary makes no representation or warranty as to the validity or worth of the Deposited Securities. The Depositary has made arrangements for the acceptance of the American Depositary Shares into DTC. Each Beneficial Owner of American Depositary Shares held through DTC must rely on the procedures of DTC and the DTC participants to exercise and be entitled to any rights attributable to such American Depositary Shares. The Receipt evidencing the American Depositary Shares held through DTC will be registered in the name of a nominee of DTC. So long as the American Depositary Shares are held through DTC or unless otherwise required by law, ownership of beneficial interests in the Receipt registered in the name of DTC (or its nominee) will be shown on, and transfers of such ownership will be effected only through, records maintained by (i) DTC (or its nominee), or (ii) DTC participants (or their nominees).</w:t>
      </w:r>
    </w:p>
    <w:p>
      <w:pPr>
        <w:spacing w:after="0" w:line="123" w:lineRule="exact"/>
        <w:rPr>
          <w:sz w:val="20"/>
          <w:szCs w:val="20"/>
          <w:color w:val="auto"/>
        </w:rPr>
      </w:pPr>
    </w:p>
    <w:p>
      <w:pPr>
        <w:ind w:right="100" w:firstLine="464"/>
        <w:spacing w:after="0" w:line="291" w:lineRule="auto"/>
        <w:tabs>
          <w:tab w:leader="none" w:pos="705"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Surrender of Receipts and Withdrawal of Deposited Securities</w:t>
      </w:r>
      <w:r>
        <w:rPr>
          <w:rFonts w:ascii="Arial" w:cs="Arial" w:eastAsia="Arial" w:hAnsi="Arial"/>
          <w:sz w:val="16"/>
          <w:szCs w:val="16"/>
          <w:color w:val="auto"/>
        </w:rPr>
        <w:t>. Upon surrender, at the Principal Office of the Depositary, of ADSs evidenced by this Receipt for the purpose of withdrawal of the Deposited Securities represented thereby, and upon payment of (i) the charges of the Depositary for the making of withdrawals and cancellation of Receipts (as set forth in Article (9) hereof and in Section 5.9 and Exhibit A of the Deposit Agreement) and (ii) all fees, taxes and governmental charges payable in connection with such surrender and withdrawal, and, subject to the terms and conditions of the Deposit Agreement, the Company’s Memorandum and Articles of Association, Section 7.9 of the Deposit Agreement, Article (22) of this Receipt and the provisions of or governing the Deposited Securities and other applicable laws, the Holder of the American Depositary Shares evidenced hereby is entitled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9" w:right="239" w:bottom="1440" w:gutter="0" w:footer="0" w:header="0"/>
        </w:sectPr>
      </w:pPr>
    </w:p>
    <w:bookmarkStart w:id="316" w:name="page317"/>
    <w:bookmarkEnd w:id="316"/>
    <w:p>
      <w:pPr>
        <w:jc w:val="both"/>
        <w:ind w:right="6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to him or upon his order, of the Deposited Securities represented by the ADS so surrendered. Subject to the last sentence of this paragraph, such Deposited Securities may be delivered in certificated form or by electronic delivery. ADS may be surrendered for the purpose of withdrawing Deposited Securities by delivery of a Receipt evidencing such ADS (if held in registered form) or by book-entry delivery of such ADS to the Depositary.</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(subject to the terms and conditions of the Deposit Agreement, to the Company’s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ADSs, together with any certificate or other proper documents of or relating to title for the Deposited Securities or evidence of the electronic transfer thereof (if available) as the case may be to or for the account of such person. The Depositary may make delivery to such person or persons at the Principal Office of the Depositary of any dividends or distributions with respect to the Deposited Securities represented by such Receipt, or of any proceeds of sale of any dividends, distributions or rights, which may at the time be held by the Depositary.</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Depositary may, in its discretion, refuse to accept for surrender a number of American Depositary Shares representing a number of Shares other than a whole number of Shares. In the case of surrender of a Receipt evidencing a number of ADSs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so surrendered and remit the proceeds thereof (net of (a) applicable fees and charges of, and expenses incurred by, the Depositary and (b) taxes withheld) to the person surrendering the Receipt. 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Principal Office of the Depositary, and for further delivery to such Holder. Such direction shall be given by letter or, at the request, risk and expense of such Holder, by cable, telex or facsimile transmission</w:t>
      </w:r>
    </w:p>
    <w:p>
      <w:pPr>
        <w:spacing w:after="0" w:line="123" w:lineRule="exact"/>
        <w:rPr>
          <w:sz w:val="20"/>
          <w:szCs w:val="20"/>
          <w:color w:val="auto"/>
        </w:rPr>
      </w:pPr>
    </w:p>
    <w:p>
      <w:pPr>
        <w:ind w:right="120" w:firstLine="464"/>
        <w:spacing w:after="0" w:line="268" w:lineRule="auto"/>
        <w:tabs>
          <w:tab w:leader="none" w:pos="705"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Transfers, Split-Ups and Combinations of Receipts</w:t>
      </w:r>
      <w:r>
        <w:rPr>
          <w:rFonts w:ascii="Arial" w:cs="Arial" w:eastAsia="Arial" w:hAnsi="Arial"/>
          <w:sz w:val="18"/>
          <w:szCs w:val="18"/>
          <w:color w:val="auto"/>
        </w:rPr>
        <w:t>. Subject to the terms and conditions of the Deposit Agreement, the Registrar shall register transfers of Receipts on its books, upon surrender at the Principal Office of the Depositary of a Receipt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317" w:name="page318"/>
    <w:bookmarkEnd w:id="317"/>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Holder thereof in person or by duly authorized attorney, properly endorsed or accompanied by proper instruments of transfer (including signature guarantees in accordance with standard industry practice) and duly stamped as may be required by the laws of the State of New York and of the United States of America, of the Cayman Islands and of any other applicable jurisdiction. Subject to the terms and conditions of the Deposit Agreement, including payment of the applicable fees and charges of the Depositary, the Depositary shall execute and deliver a new Receipt(s) (and if necessary, cause the Registrar to countersign such Receipt(s)) and deliver same to or upon the order of the person entitled to such Receipts evidencing the same aggregate number of ADSs as those evidenced by the Receipts surrendered. Upon surrender of a Receipt or Receipts for the purpose of effecting a split-up or combination of such Receipt or Receipts upon payment of the applicable fees and charges of the Depositary, and subject to the terms and conditions of the Deposit Agreement, the Depositary shall execute and deliver a new Receipt or Receipts for any authorized number of ADSs requested, evidencing the same aggregate number of ADSs as the Receipt or Receipts surrendered.</w:t>
      </w:r>
    </w:p>
    <w:p>
      <w:pPr>
        <w:spacing w:after="0" w:line="108" w:lineRule="exact"/>
        <w:rPr>
          <w:sz w:val="20"/>
          <w:szCs w:val="20"/>
          <w:color w:val="auto"/>
        </w:rPr>
      </w:pPr>
    </w:p>
    <w:p>
      <w:pPr>
        <w:ind w:right="60" w:firstLine="464"/>
        <w:spacing w:after="0" w:line="253" w:lineRule="auto"/>
        <w:tabs>
          <w:tab w:leader="none" w:pos="70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Pre-Conditions to Registration, Transfer, Etc</w:t>
      </w:r>
      <w:r>
        <w:rPr>
          <w:rFonts w:ascii="Arial" w:cs="Arial" w:eastAsia="Arial" w:hAnsi="Arial"/>
          <w:sz w:val="18"/>
          <w:szCs w:val="18"/>
          <w:color w:val="auto"/>
        </w:rPr>
        <w:t>. As a condition precedent to the execution and delivery, registration of transfer, split-up, combination or surrender of any Receipt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the Deposit Agreement and in this Receipt, (ii) the production of proof satisfactory to it as to the identity and genuineness of any signature or any other matters and (iii) compliance with (A) any laws or governmental regulations relating to the execution and delivery of Receipts and ADSs or to the withdrawal of Deposited Securities and (B) such reasonable regulations of the Depositary or the Company consistent with the Deposit Agreement and applicable law.</w:t>
      </w:r>
    </w:p>
    <w:p>
      <w:pPr>
        <w:spacing w:after="0" w:line="145"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upon which the Receipts or Share are listed, or under any provision of the Deposit Agreement or provisions of, or governing, the Deposited Securities or any meeting of shareholders of the Company or for any other reason, subject in all cases to Article (22) hereof. Notwithstanding any provision of the Deposit Agreement or this Receipt to the contrary, the Holders of Receipts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dividends, (ii) the payment of fees, taxes and similar charges,</w:t>
      </w:r>
    </w:p>
    <w:p>
      <w:pPr>
        <w:spacing w:after="0" w:line="5" w:lineRule="exact"/>
        <w:rPr>
          <w:sz w:val="20"/>
          <w:szCs w:val="20"/>
          <w:color w:val="auto"/>
        </w:rPr>
      </w:pPr>
    </w:p>
    <w:p>
      <w:pPr>
        <w:ind w:left="320" w:hanging="312"/>
        <w:spacing w:after="0"/>
        <w:tabs>
          <w:tab w:leader="none" w:pos="3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compliance with any U.S. or foreign laws or governmental regulations relating to the Receipts or to the withdrawal of the Deposited Securities, and (iv) other</w:t>
      </w:r>
    </w:p>
    <w:p>
      <w:pPr>
        <w:spacing w:after="0" w:line="174"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A-4</w:t>
      </w:r>
    </w:p>
    <w:p>
      <w:pPr>
        <w:sectPr>
          <w:pgSz w:w="11900" w:h="16838" w:orient="portrait"/>
          <w:cols w:equalWidth="0" w:num="1">
            <w:col w:w="11420"/>
          </w:cols>
          <w:pgMar w:left="240" w:top="279" w:right="239" w:bottom="1440" w:gutter="0" w:footer="0" w:header="0"/>
        </w:sectPr>
      </w:pPr>
    </w:p>
    <w:bookmarkStart w:id="318" w:name="page319"/>
    <w:bookmarkEnd w:id="318"/>
    <w:p>
      <w:pPr>
        <w:ind w:right="20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circumstances specifically contemplated by Section I.A.(l) of the General Instructions to Form F-6 (as such General Instructions may be amended from time to time). Without limitation of the foregoing, the Depositary shall not knowingly accept for deposit under the Deposit Agreement any Shares or other Deposited Securities required to be registered under the provisions of the Securities Act of 1933, as amended, unless a registration statement is in effect as to such Shares.</w:t>
      </w:r>
    </w:p>
    <w:p>
      <w:pPr>
        <w:spacing w:after="0" w:line="88" w:lineRule="exact"/>
        <w:rPr>
          <w:sz w:val="20"/>
          <w:szCs w:val="20"/>
          <w:color w:val="auto"/>
        </w:rPr>
      </w:pPr>
    </w:p>
    <w:p>
      <w:pPr>
        <w:ind w:right="20" w:firstLine="464"/>
        <w:spacing w:after="0" w:line="290" w:lineRule="auto"/>
        <w:tabs>
          <w:tab w:leader="none" w:pos="705"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Compliance With Information Requests</w:t>
      </w:r>
      <w:r>
        <w:rPr>
          <w:rFonts w:ascii="Arial" w:cs="Arial" w:eastAsia="Arial" w:hAnsi="Arial"/>
          <w:sz w:val="16"/>
          <w:szCs w:val="16"/>
          <w:color w:val="auto"/>
        </w:rPr>
        <w:t>. Notwithstanding any other provision of the Deposit Agreement or this Receipt, each Holder and Beneficial Owner of the ADSs represented hereby agrees to comply with requests from the Company pursuant to the laws of the Cayman Islands, the rules and requirements of The New York Stock Exchange and any other stock exchange on which the Shares are, or will be registered, traded or listed</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Company’s Memorandum and Articles of Association, which are made to provide information as to the capacity in which such Holder or Beneficial Owner owns ADSs and regarding the identity of any other person interested in such ADSs and the nature of such interest and various other matters whether or not they are Holders and/or Beneficial Owner at the time of such request. The Depositary agrees to use reasonable efforts to forward any such requests to the Holders and to forward to the Company any such responses to such requests received by the Depositary.</w:t>
      </w:r>
    </w:p>
    <w:p>
      <w:pPr>
        <w:spacing w:after="0" w:line="118" w:lineRule="exact"/>
        <w:rPr>
          <w:rFonts w:ascii="Arial" w:cs="Arial" w:eastAsia="Arial" w:hAnsi="Arial"/>
          <w:sz w:val="16"/>
          <w:szCs w:val="16"/>
          <w:color w:val="auto"/>
        </w:rPr>
      </w:pPr>
    </w:p>
    <w:p>
      <w:pPr>
        <w:ind w:firstLine="464"/>
        <w:spacing w:after="0" w:line="287" w:lineRule="auto"/>
        <w:tabs>
          <w:tab w:leader="none" w:pos="705"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Liability of Holder for Taxes, Duties and Other Charges</w:t>
      </w:r>
      <w:r>
        <w:rPr>
          <w:rFonts w:ascii="Arial" w:cs="Arial" w:eastAsia="Arial" w:hAnsi="Arial"/>
          <w:sz w:val="16"/>
          <w:szCs w:val="16"/>
          <w:color w:val="auto"/>
        </w:rPr>
        <w:t>. If any tax or other governmental charge shall become payable by the Depositary or the Custodian with respect to any Receipt or any Deposited Securities or ADSs, such tax, or other governmental charge shall be payable by the Holders and Beneficial Owners to the Depositary. The Company, the Custodian and/or the Depositary may withhold or deduct from any distributions made in respect of Deposited Securities and may sell for the account of the Holder and/or Beneficial Owner any or all of the Deposited Securities and apply such distributions and sale proceeds in payment of such taxes (including applicable interest and penalties) or charges, with the Holder and the Beneficial Owner hereof remaining fully liable for any deficiency. The Custodian may refuse the deposit of Shares, and the Depositary may refuse to issue ADSs, to deliver Receipts, register the transfer, split-up or combination of ADRs and (subject to Article (22) hereof) the withdrawal of Deposited Securities, until payment in full of such tax, charge, penalty or interest is received. Every Holder and Beneficial Owner agrees to indemnify the Depositary, the Company, the Custodian and each of their respective agents, officers, directors, employees and Affiliates for, and hold each of them harmless from, any claims with respect to taxes (including applicable interest and penalties thereon) arising from any tax benefit obtained for such Holder and/or Beneficial Owner.</w:t>
      </w:r>
    </w:p>
    <w:p>
      <w:pPr>
        <w:spacing w:after="0" w:line="123"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Holders understand that in converting Foreign Currency, amounts received on conversion are calculated at a rate which may exceed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319" w:name="page320"/>
    <w:bookmarkEnd w:id="319"/>
    <w:p>
      <w:pPr>
        <w:ind w:left="-8" w:right="20" w:firstLine="464"/>
        <w:spacing w:after="0" w:line="305" w:lineRule="auto"/>
        <w:tabs>
          <w:tab w:leader="none" w:pos="697" w:val="left"/>
        </w:tabs>
        <w:numPr>
          <w:ilvl w:val="1"/>
          <w:numId w:val="27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and Warranties of Depositors</w:t>
      </w:r>
      <w:r>
        <w:rPr>
          <w:rFonts w:ascii="Arial" w:cs="Arial" w:eastAsia="Arial" w:hAnsi="Arial"/>
          <w:sz w:val="15"/>
          <w:szCs w:val="15"/>
          <w:color w:val="auto"/>
        </w:rPr>
        <w:t>. Each person depositing Shares under the Deposit Agreement shall be deemed thereby to represent and warrant that (i) such Shares (and the certificates therefor) are duly authorized, validly issued, fully paid, non-assessable and were legally obtained by such person,</w:t>
      </w:r>
    </w:p>
    <w:p>
      <w:pPr>
        <w:ind w:left="-8" w:right="60" w:firstLine="8"/>
        <w:spacing w:after="0" w:line="290" w:lineRule="auto"/>
        <w:tabs>
          <w:tab w:leader="none" w:pos="25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ADSs issuable upon such deposit will not be, Restricted Securities and (v) the Shares presented for deposit have not been stripped of any rights or entitlements. Such representations and warranties shall survive the deposit and withdrawal of Shares and the issuance, cancellation and transfer of ADSs. If any such representations or warranties are false in any way, the Company and Depositary shall be authorized, at the cost and expense of the person depositing Shares, to take any and all actions necessary to correct the consequences thereof.</w:t>
      </w:r>
    </w:p>
    <w:p>
      <w:pPr>
        <w:spacing w:after="0" w:line="118" w:lineRule="exact"/>
        <w:rPr>
          <w:rFonts w:ascii="Arial" w:cs="Arial" w:eastAsia="Arial" w:hAnsi="Arial"/>
          <w:sz w:val="16"/>
          <w:szCs w:val="16"/>
          <w:color w:val="auto"/>
        </w:rPr>
      </w:pPr>
    </w:p>
    <w:p>
      <w:pPr>
        <w:ind w:left="-8" w:firstLine="464"/>
        <w:spacing w:after="0" w:line="288" w:lineRule="auto"/>
        <w:tabs>
          <w:tab w:leader="none" w:pos="697"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Filing Proofs, Certificates and Other Information</w:t>
      </w:r>
      <w:r>
        <w:rPr>
          <w:rFonts w:ascii="Arial" w:cs="Arial" w:eastAsia="Arial" w:hAnsi="Arial"/>
          <w:sz w:val="16"/>
          <w:szCs w:val="16"/>
          <w:color w:val="auto"/>
        </w:rPr>
        <w:t>. Any person presenting Shares for deposit, any Holder and any Beneficial Owner may be required, and every Holder and Beneficial Owner agrees, from time to time to provide to the Depositary such proof of citizenship or residence, taxpayer status, payment of all applicable taxes or other governmental charges, exchange control approval, legal or beneficial ownership of ADSs and Deposited Securities, compliance with applicable laws and the terms of the Deposit Agreement and the provisions of, or governing, the Deposited Securities or other information as the Depositary deem necessary or proper or as the Company may reasonably require by written request to the Depositary consistent with its obligations under the Deposit Agreement. Subject to Article (22) hereof and the terms of the Deposit Agreement, the Depositary and the Registrar, as applicable, may withhold the delivery or registration of transfer of any Receipt or the distribution or sale of any dividend or other distribution of rights or of the proceeds thereof or the delivery of any Deposited Securities until such proof or other information is filed, or such certifications are executed, or such representations and warranties made, or such information and documentation are provided.</w:t>
      </w:r>
    </w:p>
    <w:p>
      <w:pPr>
        <w:spacing w:after="0" w:line="119" w:lineRule="exact"/>
        <w:rPr>
          <w:rFonts w:ascii="Arial" w:cs="Arial" w:eastAsia="Arial" w:hAnsi="Arial"/>
          <w:sz w:val="16"/>
          <w:szCs w:val="16"/>
          <w:color w:val="auto"/>
        </w:rPr>
      </w:pPr>
    </w:p>
    <w:p>
      <w:pPr>
        <w:ind w:left="-8" w:right="140" w:firstLine="464"/>
        <w:spacing w:after="0" w:line="259" w:lineRule="auto"/>
        <w:tabs>
          <w:tab w:leader="none" w:pos="697"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Charges of Depositary</w:t>
      </w:r>
      <w:r>
        <w:rPr>
          <w:rFonts w:ascii="Arial" w:cs="Arial" w:eastAsia="Arial" w:hAnsi="Arial"/>
          <w:sz w:val="18"/>
          <w:szCs w:val="18"/>
          <w:color w:val="auto"/>
        </w:rPr>
        <w:t>. The Depositary shall charge the following fees for the services performed under the terms of the Deposit Agreement, unless otherwise agreed in writing by the Company and the Depositary; provided, however, that no fees shall be payable upon distribution of cash dividends so long as the charging of such fee is prohibited by the exchange, if any, upon which the ADSs are listed:</w:t>
      </w:r>
    </w:p>
    <w:p>
      <w:pPr>
        <w:spacing w:after="0" w:line="59" w:lineRule="exact"/>
        <w:rPr>
          <w:rFonts w:ascii="Arial" w:cs="Arial" w:eastAsia="Arial" w:hAnsi="Arial"/>
          <w:sz w:val="18"/>
          <w:szCs w:val="18"/>
          <w:color w:val="auto"/>
        </w:rPr>
      </w:pPr>
    </w:p>
    <w:p>
      <w:pPr>
        <w:ind w:left="452" w:right="60" w:firstLine="443"/>
        <w:spacing w:after="0" w:line="306" w:lineRule="auto"/>
        <w:tabs>
          <w:tab w:leader="none" w:pos="1100" w:val="left"/>
        </w:tabs>
        <w:numPr>
          <w:ilvl w:val="2"/>
          <w:numId w:val="278"/>
        </w:numPr>
        <w:rPr>
          <w:rFonts w:ascii="Arial" w:cs="Arial" w:eastAsia="Arial" w:hAnsi="Arial"/>
          <w:sz w:val="16"/>
          <w:szCs w:val="16"/>
          <w:color w:val="auto"/>
        </w:rPr>
      </w:pPr>
      <w:r>
        <w:rPr>
          <w:rFonts w:ascii="Arial" w:cs="Arial" w:eastAsia="Arial" w:hAnsi="Arial"/>
          <w:sz w:val="16"/>
          <w:szCs w:val="16"/>
          <w:color w:val="auto"/>
        </w:rPr>
        <w:t>to any person to whom ADSs are issued or to any person to whom a distribution is made in respect of ADS distributions pursuant to stock dividends or other free distributions of stock, bonus distributions, stock splits or other distributions (except where converted to cash), a fee not in excess of U.S. $ 5.00 per 100 ADSs (or fraction thereof) so issued under the terms of the Deposit Agreement to be determined by the Depositary;</w:t>
      </w:r>
    </w:p>
    <w:p>
      <w:pPr>
        <w:spacing w:after="0" w:line="25" w:lineRule="exact"/>
        <w:rPr>
          <w:rFonts w:ascii="Arial" w:cs="Arial" w:eastAsia="Arial" w:hAnsi="Arial"/>
          <w:sz w:val="16"/>
          <w:szCs w:val="16"/>
          <w:color w:val="auto"/>
        </w:rPr>
      </w:pPr>
    </w:p>
    <w:p>
      <w:pPr>
        <w:ind w:left="452" w:right="100" w:firstLine="443"/>
        <w:spacing w:after="0" w:line="268" w:lineRule="auto"/>
        <w:tabs>
          <w:tab w:leader="none" w:pos="1149" w:val="left"/>
        </w:tabs>
        <w:numPr>
          <w:ilvl w:val="2"/>
          <w:numId w:val="278"/>
        </w:numPr>
        <w:rPr>
          <w:rFonts w:ascii="Arial" w:cs="Arial" w:eastAsia="Arial" w:hAnsi="Arial"/>
          <w:sz w:val="18"/>
          <w:szCs w:val="18"/>
          <w:color w:val="auto"/>
        </w:rPr>
      </w:pPr>
      <w:r>
        <w:rPr>
          <w:rFonts w:ascii="Arial" w:cs="Arial" w:eastAsia="Arial" w:hAnsi="Arial"/>
          <w:sz w:val="18"/>
          <w:szCs w:val="18"/>
          <w:color w:val="auto"/>
        </w:rPr>
        <w:t xml:space="preserve">to any person surrendering ADSs for cancellation and withdrawal of Deposited Securities including, </w:t>
      </w:r>
      <w:r>
        <w:rPr>
          <w:rFonts w:ascii="Arial" w:cs="Arial" w:eastAsia="Arial" w:hAnsi="Arial"/>
          <w:sz w:val="18"/>
          <w:szCs w:val="18"/>
          <w:i w:val="1"/>
          <w:iCs w:val="1"/>
          <w:color w:val="auto"/>
        </w:rPr>
        <w:t>inter alia</w:t>
      </w:r>
      <w:r>
        <w:rPr>
          <w:rFonts w:ascii="Arial" w:cs="Arial" w:eastAsia="Arial" w:hAnsi="Arial"/>
          <w:sz w:val="18"/>
          <w:szCs w:val="18"/>
          <w:color w:val="auto"/>
        </w:rPr>
        <w:t>, cash distributions made pursuant to a cancellation or withdrawal, a fee not in excess of U.S. $ 5.00 per 100 ADSs (or fraction thereof) so surrendered;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92"/>
          </w:cols>
          <w:pgMar w:left="248" w:top="280" w:right="259" w:bottom="1440" w:gutter="0" w:footer="0" w:header="0"/>
        </w:sectPr>
      </w:pPr>
    </w:p>
    <w:bookmarkStart w:id="320" w:name="page321"/>
    <w:bookmarkEnd w:id="320"/>
    <w:p>
      <w:pPr>
        <w:ind w:left="460" w:right="180" w:firstLine="443"/>
        <w:spacing w:after="0" w:line="268" w:lineRule="auto"/>
        <w:tabs>
          <w:tab w:leader="none" w:pos="1205" w:val="left"/>
        </w:tabs>
        <w:numPr>
          <w:ilvl w:val="1"/>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any Holder of ADSs, a fee not in excess of U.S. $ 2.00 per 100 ADS held for the distribution of cash proceeds, including cash dividends or sale of rights and other entitlements, not made pursuant to a cancellation or withdrawal;</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to any holder of ADSs, a fee not in excess of U.S. $ 5.00 per 100 ADSs (or portion thereof) issued upon the exercise of rights;</w:t>
      </w:r>
    </w:p>
    <w:p>
      <w:pPr>
        <w:spacing w:after="0" w:line="90" w:lineRule="exact"/>
        <w:rPr>
          <w:rFonts w:ascii="Arial" w:cs="Arial" w:eastAsia="Arial" w:hAnsi="Arial"/>
          <w:sz w:val="18"/>
          <w:szCs w:val="18"/>
          <w:color w:val="auto"/>
        </w:rPr>
      </w:pPr>
    </w:p>
    <w:p>
      <w:pPr>
        <w:jc w:val="both"/>
        <w:ind w:left="460" w:right="140" w:firstLine="443"/>
        <w:spacing w:after="0" w:line="305" w:lineRule="auto"/>
        <w:tabs>
          <w:tab w:leader="none" w:pos="1147" w:val="left"/>
        </w:tabs>
        <w:numPr>
          <w:ilvl w:val="1"/>
          <w:numId w:val="279"/>
        </w:numPr>
        <w:rPr>
          <w:rFonts w:ascii="Arial" w:cs="Arial" w:eastAsia="Arial" w:hAnsi="Arial"/>
          <w:sz w:val="15"/>
          <w:szCs w:val="15"/>
          <w:color w:val="auto"/>
        </w:rPr>
      </w:pPr>
      <w:r>
        <w:rPr>
          <w:rFonts w:ascii="Arial" w:cs="Arial" w:eastAsia="Arial" w:hAnsi="Arial"/>
          <w:sz w:val="15"/>
          <w:szCs w:val="15"/>
          <w:color w:val="auto"/>
        </w:rPr>
        <w:t>for the operation and maintenance costs in administering the ADRs an annual fee of U.S.$0.02 or less per ADR: provided, however, that if the Depositary imposes a fee under this clause (v), then the total of fees assessed under this clause (v), combined with the total of fees assessed under clause</w:t>
      </w:r>
    </w:p>
    <w:p>
      <w:pPr>
        <w:ind w:left="760" w:hanging="296"/>
        <w:spacing w:after="0"/>
        <w:tabs>
          <w:tab w:leader="none" w:pos="7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above, shall not exceed U.S.$0.02 per ADR in any calendar year; and</w:t>
      </w:r>
    </w:p>
    <w:p>
      <w:pPr>
        <w:spacing w:after="0" w:line="83" w:lineRule="exact"/>
        <w:rPr>
          <w:rFonts w:ascii="Arial" w:cs="Arial" w:eastAsia="Arial" w:hAnsi="Arial"/>
          <w:sz w:val="18"/>
          <w:szCs w:val="18"/>
          <w:color w:val="auto"/>
        </w:rPr>
      </w:pPr>
    </w:p>
    <w:p>
      <w:pPr>
        <w:ind w:left="460" w:right="60" w:firstLine="443"/>
        <w:spacing w:after="0" w:line="256" w:lineRule="auto"/>
        <w:tabs>
          <w:tab w:leader="none" w:pos="119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in connection with inspections of the relevant share register maintained by the local registrar, if applicable undertaken by the Depositary, the Custodian or their respective agents: an annual fee of U.S.$0.01 or less per ADR (such fee to be assessed against Holders of record as of the date or dates set by the Depositary as it sees fit and collected at the sole discretion of the Depositary by billing such Holders for such fee or by deducting such fee from one or more cash dividends or other cash distributions.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Holders, Beneficial Owners, persons depositing Shares for deposit and persons surrendering ADSs for cancellation and withdrawal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Deposited Securities will be required to pay the following charges:</w:t>
      </w:r>
    </w:p>
    <w:p>
      <w:pPr>
        <w:spacing w:after="0" w:line="84" w:lineRule="exact"/>
        <w:rPr>
          <w:sz w:val="20"/>
          <w:szCs w:val="20"/>
          <w:color w:val="auto"/>
        </w:rPr>
      </w:pPr>
    </w:p>
    <w:p>
      <w:pPr>
        <w:ind w:left="1120" w:hanging="217"/>
        <w:spacing w:after="0"/>
        <w:tabs>
          <w:tab w:leader="none" w:pos="11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90" w:lineRule="exact"/>
        <w:rPr>
          <w:rFonts w:ascii="Arial" w:cs="Arial" w:eastAsia="Arial" w:hAnsi="Arial"/>
          <w:sz w:val="18"/>
          <w:szCs w:val="18"/>
          <w:color w:val="auto"/>
        </w:rPr>
      </w:pPr>
    </w:p>
    <w:p>
      <w:pPr>
        <w:jc w:val="both"/>
        <w:ind w:left="460" w:firstLine="443"/>
        <w:spacing w:after="0" w:line="259" w:lineRule="auto"/>
        <w:tabs>
          <w:tab w:leader="none" w:pos="115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59" w:lineRule="exact"/>
        <w:rPr>
          <w:rFonts w:ascii="Arial" w:cs="Arial" w:eastAsia="Arial" w:hAnsi="Arial"/>
          <w:sz w:val="18"/>
          <w:szCs w:val="18"/>
          <w:color w:val="auto"/>
        </w:rPr>
      </w:pPr>
    </w:p>
    <w:p>
      <w:pPr>
        <w:ind w:left="460" w:right="160" w:firstLine="443"/>
        <w:spacing w:after="0" w:line="268" w:lineRule="auto"/>
        <w:tabs>
          <w:tab w:leader="none" w:pos="120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such cable, telex, facsimile and electronic transmission and delivery expenses as are expressly provided in the Deposit Agreement to be at the expense of the person depositing or withdrawing Shares or Holders and Beneficial Owners of ADSs;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Shares, Deposited Securities, ADSs and ADRs;</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19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fees and expenses incurred by the Depositary in connection with the delivery of Deposited Securities, including any fees of a central depository for securities in the local market, where applicable; and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20"/>
          </w:cols>
          <w:pgMar w:left="240" w:top="280" w:right="339" w:bottom="1440" w:gutter="0" w:footer="0" w:header="0"/>
        </w:sectPr>
      </w:pPr>
    </w:p>
    <w:bookmarkStart w:id="321" w:name="page322"/>
    <w:bookmarkEnd w:id="32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(vii) any additional fees, charges, costs or expenses that may be incurred by the Depositary from time to time.</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Any other charges and expenses of the Depositary under the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Article (20) of this Receipt.</w:t>
      </w:r>
    </w:p>
    <w:p>
      <w:pPr>
        <w:spacing w:after="0" w:line="107" w:lineRule="exact"/>
        <w:rPr>
          <w:sz w:val="20"/>
          <w:szCs w:val="20"/>
          <w:color w:val="auto"/>
        </w:rPr>
      </w:pPr>
    </w:p>
    <w:p>
      <w:pPr>
        <w:ind w:right="40" w:firstLine="464"/>
        <w:spacing w:after="0" w:line="290" w:lineRule="auto"/>
        <w:tabs>
          <w:tab w:leader="none" w:pos="793"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Title to Receipts</w:t>
      </w:r>
      <w:r>
        <w:rPr>
          <w:rFonts w:ascii="Arial" w:cs="Arial" w:eastAsia="Arial" w:hAnsi="Arial"/>
          <w:sz w:val="16"/>
          <w:szCs w:val="16"/>
          <w:color w:val="auto"/>
        </w:rPr>
        <w:t>. It is a condition of this Receipt, and every successive Holder of this Receipt by accepting or holding the same consents and agrees, that title to this Receipt (and to each ADS evidenced hereby) is transferable by delivery of the Receipt, provided it has been properly endorsed or accompanied by proper instruments of transfer, such Receipt being a certificated security under the laws of the State of New York. Notwithstanding any notice to the contrary, the Depositary may deem and treat the Holder of this Receipt (that is, the person in whose name this Receipt is registered on the books of the Depositary) as the absolute owner hereof for all purposes. The Depositary shall have no obligation or be subject to any liability under the Deposit Agreement or this Receipt to any holder of this Receipt or any Beneficial Owner unless such holder is the Holder of this Receipt registered on the books of the Depositary or, in the case of a Beneficial Owner, such Beneficial Owner or the Beneficial Owner’s representative is the Holder registered on the books of the Depositary.</w:t>
      </w:r>
    </w:p>
    <w:p>
      <w:pPr>
        <w:spacing w:after="0" w:line="118" w:lineRule="exact"/>
        <w:rPr>
          <w:rFonts w:ascii="Arial" w:cs="Arial" w:eastAsia="Arial" w:hAnsi="Arial"/>
          <w:sz w:val="16"/>
          <w:szCs w:val="16"/>
          <w:color w:val="auto"/>
        </w:rPr>
      </w:pPr>
    </w:p>
    <w:p>
      <w:pPr>
        <w:ind w:firstLine="464"/>
        <w:spacing w:after="0" w:line="290" w:lineRule="auto"/>
        <w:tabs>
          <w:tab w:leader="none" w:pos="786"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Validity of Receipt</w:t>
      </w:r>
      <w:r>
        <w:rPr>
          <w:rFonts w:ascii="Arial" w:cs="Arial" w:eastAsia="Arial" w:hAnsi="Arial"/>
          <w:sz w:val="16"/>
          <w:szCs w:val="16"/>
          <w:color w:val="auto"/>
        </w:rPr>
        <w:t>. This Receipt shall not be entitled to any benefits under the Deposit Agreement or be valid or enforceable for any purpose, unless this Receipt has been (i) dated, (ii) signed by the manual or facsimile signature of a duly authorized signatory of the Depositary, (iii) if a Registrar for the Receipts shall have been appointed, countersigned by the manual or facsimile signature of a duly authorized signatory of the Registrar and (iv) registered in the books maintained by the Depositary or the Registrar, as applicable, for the issuance and transfer of Receipts. Receipts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execution and delivery of such Receipt by the Depositary or did not hold such office on the date of issuance of such Receipts.</w:t>
      </w:r>
    </w:p>
    <w:p>
      <w:pPr>
        <w:spacing w:after="0" w:line="118" w:lineRule="exact"/>
        <w:rPr>
          <w:rFonts w:ascii="Arial" w:cs="Arial" w:eastAsia="Arial" w:hAnsi="Arial"/>
          <w:sz w:val="16"/>
          <w:szCs w:val="16"/>
          <w:color w:val="auto"/>
        </w:rPr>
      </w:pPr>
    </w:p>
    <w:p>
      <w:pPr>
        <w:ind w:right="80" w:firstLine="464"/>
        <w:spacing w:after="0" w:line="314" w:lineRule="auto"/>
        <w:tabs>
          <w:tab w:leader="none" w:pos="793" w:val="left"/>
        </w:tabs>
        <w:numPr>
          <w:ilvl w:val="0"/>
          <w:numId w:val="282"/>
        </w:numPr>
        <w:rPr>
          <w:rFonts w:ascii="Arial" w:cs="Arial" w:eastAsia="Arial" w:hAnsi="Arial"/>
          <w:sz w:val="15"/>
          <w:szCs w:val="15"/>
          <w:color w:val="auto"/>
        </w:rPr>
      </w:pPr>
      <w:r>
        <w:rPr>
          <w:rFonts w:ascii="Arial" w:cs="Arial" w:eastAsia="Arial" w:hAnsi="Arial"/>
          <w:sz w:val="15"/>
          <w:szCs w:val="15"/>
          <w:u w:val="single" w:color="auto"/>
          <w:color w:val="auto"/>
        </w:rPr>
        <w:t>Available Information; Reports; Inspection of Transfer Books</w:t>
      </w:r>
      <w:r>
        <w:rPr>
          <w:rFonts w:ascii="Arial" w:cs="Arial" w:eastAsia="Arial" w:hAnsi="Arial"/>
          <w:sz w:val="15"/>
          <w:szCs w:val="15"/>
          <w:color w:val="auto"/>
        </w:rPr>
        <w:t>. The Company is subject to the periodic reporting requirements of the Exchange Act applicable to foreign private issuers (as defined in Rule 405 under the Securities Act) and accordingly files certain information with the Commission. These reports and documents can be inspected and copied at the public reference facilities maintained by the Commission located at 100 F Street, N.E., Washington, D.C. 20549. The Depositary shall make available during normal business hours on any Business Day for inspection by Holders at its Principal Office any reports and communications, including any proxy soliciting materials, received from the Company which are both (a) received by the Depositary, the Custodian, or the nominee of either of them as the holder of the Deposited Securities and (b) made generally available to the holders of such Deposited Securities by the Company.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80" w:right="239" w:bottom="1440" w:gutter="0" w:footer="0" w:header="0"/>
        </w:sectPr>
      </w:pPr>
    </w:p>
    <w:bookmarkStart w:id="322" w:name="page323"/>
    <w:bookmarkEnd w:id="322"/>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the Deposit Agreement or the Receipts.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Depositary or the Registrar, as applicable, may close the transfer books with respect to the Receipts, at any time or from time to time, when deemed necessary or advisable by it in good faith in connection with the performance of its duties hereunder, or at the reasonable written request of the Company subject, in all cases, to Article (22) hereof.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Dated:</w:t>
            </w:r>
          </w:p>
        </w:tc>
        <w:tc>
          <w:tcPr>
            <w:tcW w:w="8380" w:type="dxa"/>
            <w:vAlign w:val="bottom"/>
            <w:gridSpan w:val="2"/>
          </w:tcPr>
          <w:p>
            <w:pPr>
              <w:ind w:left="2540"/>
              <w:spacing w:after="0"/>
              <w:rPr>
                <w:sz w:val="20"/>
                <w:szCs w:val="20"/>
                <w:color w:val="auto"/>
              </w:rPr>
            </w:pPr>
            <w:r>
              <w:rPr>
                <w:rFonts w:ascii="Arial" w:cs="Arial" w:eastAsia="Arial" w:hAnsi="Arial"/>
                <w:sz w:val="18"/>
                <w:szCs w:val="18"/>
                <w:color w:val="auto"/>
              </w:rPr>
              <w:t>DEUTSCHE BANK TRUST</w:t>
            </w:r>
          </w:p>
        </w:tc>
      </w:tr>
      <w:tr>
        <w:trPr>
          <w:trHeight w:val="222"/>
        </w:trPr>
        <w:tc>
          <w:tcPr>
            <w:tcW w:w="3040" w:type="dxa"/>
            <w:vAlign w:val="bottom"/>
          </w:tcPr>
          <w:p>
            <w:pPr>
              <w:spacing w:after="0"/>
              <w:rPr>
                <w:sz w:val="19"/>
                <w:szCs w:val="19"/>
                <w:color w:val="auto"/>
              </w:rPr>
            </w:pPr>
          </w:p>
        </w:tc>
        <w:tc>
          <w:tcPr>
            <w:tcW w:w="8380" w:type="dxa"/>
            <w:vAlign w:val="bottom"/>
            <w:gridSpan w:val="2"/>
          </w:tcPr>
          <w:p>
            <w:pPr>
              <w:ind w:left="2540"/>
              <w:spacing w:after="0"/>
              <w:rPr>
                <w:sz w:val="20"/>
                <w:szCs w:val="20"/>
                <w:color w:val="auto"/>
              </w:rPr>
            </w:pPr>
            <w:r>
              <w:rPr>
                <w:rFonts w:ascii="Arial" w:cs="Arial" w:eastAsia="Arial" w:hAnsi="Arial"/>
                <w:sz w:val="18"/>
                <w:szCs w:val="18"/>
                <w:color w:val="auto"/>
              </w:rPr>
              <w:t>COMPANY AMERICAS, as Depositary</w:t>
            </w:r>
          </w:p>
        </w:tc>
      </w:tr>
      <w:tr>
        <w:trPr>
          <w:trHeight w:val="421"/>
        </w:trPr>
        <w:tc>
          <w:tcPr>
            <w:tcW w:w="3040" w:type="dxa"/>
            <w:vAlign w:val="bottom"/>
          </w:tcPr>
          <w:p>
            <w:pPr>
              <w:spacing w:after="0"/>
              <w:rPr>
                <w:sz w:val="24"/>
                <w:szCs w:val="24"/>
                <w:color w:val="auto"/>
              </w:rPr>
            </w:pPr>
          </w:p>
        </w:tc>
        <w:tc>
          <w:tcPr>
            <w:tcW w:w="8380" w:type="dxa"/>
            <w:vAlign w:val="bottom"/>
            <w:gridSpan w:val="2"/>
          </w:tcPr>
          <w:p>
            <w:pPr>
              <w:ind w:left="2540"/>
              <w:spacing w:after="0"/>
              <w:rPr>
                <w:sz w:val="20"/>
                <w:szCs w:val="20"/>
                <w:color w:val="auto"/>
              </w:rPr>
            </w:pPr>
            <w:r>
              <w:rPr>
                <w:rFonts w:ascii="Arial" w:cs="Arial" w:eastAsia="Arial" w:hAnsi="Arial"/>
                <w:sz w:val="18"/>
                <w:szCs w:val="18"/>
                <w:color w:val="auto"/>
              </w:rPr>
              <w:t>By:</w:t>
            </w:r>
          </w:p>
        </w:tc>
      </w:tr>
      <w:tr>
        <w:trPr>
          <w:trHeight w:val="221"/>
        </w:trPr>
        <w:tc>
          <w:tcPr>
            <w:tcW w:w="30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the Principal Office of the Depositary is 60 Wall Street, New York, New York 10005, U.S.A.</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79" w:right="239" w:bottom="1440" w:gutter="0" w:footer="0" w:header="0"/>
        </w:sectPr>
      </w:pPr>
    </w:p>
    <w:bookmarkStart w:id="323" w:name="page324"/>
    <w:bookmarkEnd w:id="323"/>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[FORM OF REVERSE OF RECEIPT]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SUMMARY OF CERTAIN ADDITIONAL PROVISIONS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 THE DEPOSIT AGREEMENT</w:t>
      </w:r>
    </w:p>
    <w:p>
      <w:pPr>
        <w:spacing w:after="0" w:line="165" w:lineRule="exact"/>
        <w:rPr>
          <w:sz w:val="20"/>
          <w:szCs w:val="20"/>
          <w:color w:val="auto"/>
        </w:rPr>
      </w:pPr>
    </w:p>
    <w:p>
      <w:pPr>
        <w:ind w:right="20" w:firstLine="464"/>
        <w:spacing w:after="0" w:line="286" w:lineRule="auto"/>
        <w:tabs>
          <w:tab w:leader="none" w:pos="793"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 in Cash, Shares, etc</w:t>
      </w:r>
      <w:r>
        <w:rPr>
          <w:rFonts w:ascii="Arial" w:cs="Arial" w:eastAsia="Arial" w:hAnsi="Arial"/>
          <w:sz w:val="16"/>
          <w:szCs w:val="16"/>
          <w:color w:val="auto"/>
        </w:rPr>
        <w:t>. Whenever the Depositary receives confirmation from the Custodian of receipt of any cash dividend or other cash distribution on any Deposited Securities, or receives proceeds from the sale of any Shares, rights securities or other entitlements under the Deposit Agreement, the Depositary will, if at the time of receipt thereof any amounts received in a foreign currency can, in the judgment of the Depositary (upon the terms of the Deposit Agreement), be converted on a practicable basis, into Dollars transferable to the United States, promptly convert or cause to be converted such dividend, distribution or proceeds into Dollars and will distribute promptly the amount thus received (net of applicable fees and charges of, and expenses incurred by, the Depositary and taxes withheld) to the Holders of record as of the ADS Record Date in proportion to the number of ADS representing such Deposited Securities held by such Holders respectively as of the ADS Record Date. The Depositary shall distribute only such amount, however, as can be distributed without attributing to any Holder a fraction of one cent. Any such fractional amounts shall be rounded to the nearest whole cent and so distributed to Holders entitled thereto.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Any foreign currency received by the Depositary shall be converted upon the terms and conditions set forth in the Deposit Agreement.</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any distribution upon any Deposited Securities consists of a dividend in, or free distribution of, Shares, the Company shall or cause such Shares to be deposited with the Custodian and registered, as the case may be, in the name of the Depositary, the Custodian or their nominees. Upon receipt of confirmation of such deposit, the Depositary shall, subject to and in accordance with the Deposit Agreement, establish the ADS Record Date and either (i) distribute to the Holders as of the ADS Record Date in proportion to the number of ADSs held as of the ADS Record Date, additional ADSs, which represent in aggregate the number of Shares received as such dividend, or free distribution, subject to the terms of the Deposit Agreement (including, without limitation, the applicable fees and charges of, and expenses incurred by, the Depositary, and taxes), or (ii) if additional ADSs are not so distributed, each ADS issued and outstanding after the ADS Record Date shall, to the extent permissible by law, thenceforth also represent rights and interest in the additional Shares distributed upon the Deposited Securities represented thereby (net of the applicable fees and charges of, and the expenses incurred by, the Depositary, and taxes). In lieu of delivering fractional ADSs, the Depositary shall sell the number of Shares represented by the aggregate of such fractions and distribute the proceeds upon the terms set forth in the Deposit Agreement.</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40"/>
          </w:cols>
          <w:pgMar w:left="240" w:top="273" w:right="319" w:bottom="1440" w:gutter="0" w:footer="0" w:header="0"/>
        </w:sectPr>
      </w:pPr>
    </w:p>
    <w:bookmarkStart w:id="324" w:name="page325"/>
    <w:bookmarkEnd w:id="324"/>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that (x) the Depositary determines that any distribution in property (including Shares) is subject to any tax or other governmental charges which the Depositary is obligated to withhold, or, (y) if the Company, in the fulfillment of its obligations under the Deposit Agreement, has either (a) furnished an opinion of U.S. counsel determining that Shares must be registered under the Securities Act or other laws in order to be distributed to Holders (and no such registration statement has been declared effective), or (b) fails to timely deliver the documentation contemplated in the Deposit Agreement,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taxes and fees and charges of, and expenses incurred by, the Depositary) to Holders entitled thereto upon the terms of the Deposit Agreement. The Depositary shall hold and/or distribute any unsold balance of such property in accordance with the provisions of the Deposit Agreement.</w:t>
      </w:r>
    </w:p>
    <w:p>
      <w:pPr>
        <w:spacing w:after="0" w:line="118"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Upon timely receipt of a notice indicating that the Company wishes an elective distribution to be made available to Holders upon the terms described in the Deposit Agreement, the Depositary shall, upon provision of all documentation required under the Deposit Agreement, (including, without limitation, any legal opinions of counsel the Depositary may request under the Deposit Agreement) determine whether such distribution is lawful and reasonably practicable. If so, the Depositary shall, subject to the terms and conditions of the Deposit Agreement, establish an ADS Record Date according to Article (14) hereof and establish procedures to enable the Holder hereof to elect to receive the proposed distribution in cash or in additional ADSs. If a Holder elects to receive the distribution in cash, the dividend shall be distributed as in the case of a distribution in cash. If the Holder hereof elects to receive the distribution in additional ADSs, the distribution shall be distributed as in the case of a distribution in Shares upon the terms described in the Deposit Agreement. If such elective distribution is not lawful or reasonably practicable or if the Depositary did not receive satisfactory documentation set forth in the Deposit Agreement, the Depositary shall, to the</w:t>
      </w:r>
    </w:p>
    <w:p>
      <w:pPr>
        <w:spacing w:after="0" w:line="6"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extent permitted by law, distribute to Holders, on the basis of the same determination as is made in [ ] in respect of the Shares for which no election is made, either (x) cash or (y) additional ADSs representing such additional Shares, in each case, upon the terms described in the Deposit Agreement. Nothing herein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w:t>
      </w:r>
    </w:p>
    <w:p>
      <w:pPr>
        <w:spacing w:after="0" w:line="11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receipt by the Depositary of a notice indicating that the Company wishes rights to subscribe for additional Shares to be made available to Holders of ADSs, the Company shall determine whether it is lawful and reasonably practicable to make such rights available to the Holders. The Depositary shall make such rights available to any Holders only if the Company shall have timely requested that such rights be made available to Holders, the Depositary shall have received the documentation required by the Deposit Agreement, and the Depositary shall have determined that such distribution of rights is lawful and reasonably practicable. If such conditions are not satisfied, the Depositary shall sell the rights as described below. In the event all conditions set forth above are satisfied, the Depositary shall establish an ADS Record Date and establish procedures (x) to distribute such rights (by means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80" w:right="259" w:bottom="1440" w:gutter="0" w:footer="0" w:header="0"/>
        </w:sectPr>
      </w:pPr>
    </w:p>
    <w:bookmarkStart w:id="325" w:name="page326"/>
    <w:bookmarkEnd w:id="32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warrants or otherwise) and (y) to enable the Holders to exercise the rights (upon payment of the applicable fees and charges of, and expenses incurred by, the Depositary and taxes). Nothing herein or in the Deposit Agreement shall obligate the Depositary to make available to the Holders a method to exercise such rights to subscribe for Shares (rather than ADSs). If (i) the Company does not timely request the Depositary to make the rights available to Holders or if the Company requests that the rights not be made available to Holders, (ii) the Depositary fails to receive the documentation required by the Deposit Agreement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in a riskless principal capacity or otherwise, at such place and upon such terms (including public and private sale) as it may deem proper. The Depositary shall, upon such sale, convert and distribute proceeds of such sale (net of applicable fees and charges of, and expenses incurred by, the Depositary and taxes) upon the terms hereof and in the Deposit Agreement. If the Depositary is unable to make any rights available to Holders or to arrange for the sale of the rights upon the terms described above, the Depositary shall allow such rights to lapse. The Depositary shall not be responsible for (i) any failure to determine that it may be lawful or feasible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2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Notwithstanding anything herein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to the Depositary opinion(s) of counsel for the Company in the United States and counsel to the Company in any other applicable country in which rights would be distributed, in each case satisfactorily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or charges.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exercise rights on the same terms and conditions as the holders of Shares or to exercise such rights. Nothing herein shall obligate the Company to file any registration statement in respect of any rights or Shares or other securities to be acquired upon the exercise of such rights.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80" w:right="239" w:bottom="1440" w:gutter="0" w:footer="0" w:header="0"/>
        </w:sectPr>
      </w:pPr>
    </w:p>
    <w:bookmarkStart w:id="326" w:name="page327"/>
    <w:bookmarkEnd w:id="326"/>
    <w:p>
      <w:pPr>
        <w:ind w:firstLine="456"/>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Upon receipt of a notice regarding property other than cash, Shares or rights to purchase additional Shares, to be made to Holders of ADSs, the Depositary shall determine, upon consultation with the Company, whether such distribution to Holders is lawful and reasonably practicable. The Depositary shall not make such distribution unless (i) the Company shall have timely requested the Depositary to make such distribution to Holders, (ii) the Depositary shall have received the documentation required by the Deposit Agreement, and (iii) the Depositary shall have determined that such distribution is lawful and reasonably practicable. Upon satisfaction of such conditions, the Depositary shall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08"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If the conditions above are not satisfied, the Depositary shall sell or cause such property to be sold in a public or private sale, at such place or places and upon such terms as it may deem proper and shall distribute the proceeds of such sale received by the Depositary (net of (a) applicable fees and charges of, and expenses incurred by, the Depositary and (b) taxes) to the Holders upon the terms hereof and of the Deposit Agreement. If the Depositary is unable to sell such property, the Depositary may dispose of such property in any way it deems reasonably practicable under the circumstances.</w:t>
      </w:r>
    </w:p>
    <w:p>
      <w:pPr>
        <w:spacing w:after="0" w:line="113" w:lineRule="exact"/>
        <w:rPr>
          <w:sz w:val="20"/>
          <w:szCs w:val="20"/>
          <w:color w:val="auto"/>
        </w:rPr>
      </w:pPr>
    </w:p>
    <w:p>
      <w:pPr>
        <w:ind w:right="40" w:firstLine="464"/>
        <w:spacing w:after="0" w:line="289" w:lineRule="auto"/>
        <w:tabs>
          <w:tab w:leader="none" w:pos="793"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Fixing of Record Date</w:t>
      </w:r>
      <w:r>
        <w:rPr>
          <w:rFonts w:ascii="Arial" w:cs="Arial" w:eastAsia="Arial" w:hAnsi="Arial"/>
          <w:sz w:val="16"/>
          <w:szCs w:val="16"/>
          <w:color w:val="auto"/>
        </w:rPr>
        <w:t>. Whenever necessary in connection with any distribution (whether in cash, shares, rights or other distribution), or whenever for any reason the Depositary causes a change in the number of Shares that are represented by each ADS, or whenever the Depositary shall receive notice of any meeting of holders of Shares or other Deposited Securities, or whenever the Depositary shall find it necessary or convenient in connection with the giving of any notice, or any other matter, the Depositary shall fix a record date (“ADS Record Date”)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ADS. Subject to applicable law and the terms and conditions of this Receipt and the Deposit Agreement, only the Holders of record at the close of business in New York on such ADS Record Date shall be entitled to receive such distributions, to give such voting instructions, to receive such notice or solicitation, or otherwise take action.</w:t>
      </w:r>
    </w:p>
    <w:p>
      <w:pPr>
        <w:spacing w:after="0" w:line="118" w:lineRule="exact"/>
        <w:rPr>
          <w:rFonts w:ascii="Arial" w:cs="Arial" w:eastAsia="Arial" w:hAnsi="Arial"/>
          <w:sz w:val="16"/>
          <w:szCs w:val="16"/>
          <w:color w:val="auto"/>
        </w:rPr>
      </w:pPr>
    </w:p>
    <w:p>
      <w:pPr>
        <w:ind w:right="180" w:firstLine="464"/>
        <w:spacing w:after="0" w:line="268" w:lineRule="auto"/>
        <w:tabs>
          <w:tab w:leader="none" w:pos="793"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Voting of Deposited Securities</w:t>
      </w:r>
      <w:r>
        <w:rPr>
          <w:rFonts w:ascii="Arial" w:cs="Arial" w:eastAsia="Arial" w:hAnsi="Arial"/>
          <w:sz w:val="18"/>
          <w:szCs w:val="18"/>
          <w:color w:val="auto"/>
        </w:rPr>
        <w:t>. As soon as practicable after receipt of notice of any meeting at which the holders of Shares are entitled to vote, or of solicitation of consents or proxies from holders of Shares or other Deposited Securities, the Depositary shall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80"/>
          </w:cols>
          <w:pgMar w:left="240" w:top="280" w:right="279" w:bottom="1440" w:gutter="0" w:footer="0" w:header="0"/>
        </w:sectPr>
      </w:pPr>
    </w:p>
    <w:bookmarkStart w:id="327" w:name="page328"/>
    <w:bookmarkEnd w:id="32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fix the ADS Record Date in respect of such meeting or solicitation of such consent or proxy. The Depositary shall, if requested by the Company in writing in a timely manner (the Depositary having no obligation to take any further action if the request shall not have been received by the Depositary at least 21 Business Days prior to the date of such vote or meeting), at the Company’s expense, unless otherwise agreed in writing by the Company and the Depositary and provided no U.S. legal prohibitions exist, mail by ordinary, regular mail delivery or by electronic transmission (if agreed by the Company and the Depositary), unless otherwise agreed in writing by the Company and the Depositary, to Holders as of the ADS Record Date: (a) such notice of meeting or solicitation of consent or proxies; (b) a statement that the Holders as of the ADS Record Date will be entitled, subject to any applicable law, the provisions of the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Shares or other Deposited Securities represented by such Holder’s ADSs; and (c) a brief statement as to the manner in which such instructions may be given. Upon the timely receipt of written instructions of a Holder of ADSs on the ADS Record Date, the Depositary shall endeavor, insofar as practicable and permitted under applicable law and the provisions of the Company’s Memorandum and Articles of Association and the provisions of the Deposit Agreement, to vote or cause the Custodian to vote the Shares and/or other Deposited Securities represented by ADSs held by such Holder in accordance with such instructions.</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event that the Depositary i) timely receives voting instructions from a Holder which fail to specify the manner in which the Depositary is to vote the Deposited Securities represented by such Holder’s ADSs or ii) if no instructions are received by the Depositary from a Holder with respect to any of the Deposited Securities represented by the ADSs evidenced by such Holder’s ADRs on or before the ADS Record Date established by the Depositary for such purpose,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Shares, provided, further, that the Company will have no liability to any Holder or Beneficial Owner resulting from such notification.</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Shares or other Deposited Securities represented by American Depositary Shares except pursuant to and in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40"/>
          </w:cols>
          <w:pgMar w:left="240" w:top="279" w:right="319" w:bottom="1440" w:gutter="0" w:footer="0" w:header="0"/>
        </w:sectPr>
      </w:pPr>
    </w:p>
    <w:bookmarkStart w:id="328" w:name="page329"/>
    <w:bookmarkEnd w:id="32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accordance with such written instructions from Holders, including the deemed instruction to the Depositary to give a discretionary proxy to a person designated by the Company. Shares or other Deposited Securities represented by ADSs for which no specific voting instructions are received by the Depositary from the Holder shall not be voted.</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the above, and in accordance with Section 5.3 of the Deposit Agreement, the Depositary shall not be liable for any failure to carry out any instructions to vote any of the Deposited Securities, or for the manner in which such vote is cast or the effect of any such vote.</w:t>
      </w:r>
    </w:p>
    <w:p>
      <w:pPr>
        <w:spacing w:after="0" w:line="85" w:lineRule="exact"/>
        <w:rPr>
          <w:sz w:val="20"/>
          <w:szCs w:val="20"/>
          <w:color w:val="auto"/>
        </w:rPr>
      </w:pPr>
    </w:p>
    <w:p>
      <w:pPr>
        <w:ind w:firstLine="464"/>
        <w:spacing w:after="0" w:line="285" w:lineRule="auto"/>
        <w:tabs>
          <w:tab w:leader="none" w:pos="793"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Changes Affecting Deposited Securities</w:t>
      </w:r>
      <w:r>
        <w:rPr>
          <w:rFonts w:ascii="Arial" w:cs="Arial" w:eastAsia="Arial" w:hAnsi="Arial"/>
          <w:sz w:val="16"/>
          <w:szCs w:val="16"/>
          <w:color w:val="auto"/>
        </w:rPr>
        <w:t>. Upon any change in par value, split-up, cancellation, consolidation or any other reclassification of Deposited Securities, or upon any recapitalization, reorganization, merger or consolidation or sale of assets affecting the Company or to which it otherwise is a party, any securities which shall be received by the Depositary or a Custodian in exchange for, or in conversion of or replacement or otherwise in respect of, such Deposited Securities shall, to the extent permitted by law, be treated as new Deposited Securities under the Deposit Agreement, and the Receipts shall, subject to the provisions of the Deposit Agreement and applicable law, evidence ADSs representing the right to receive such additional securities. Alternatively, the Depositary may, with the Company’s approval, and shall, if the Company shall so request, subject to the terms of the Deposit Agreement and receipt of satisfactory documentation contemplated by the Deposit Agreement, execute and deliver additional Receipts as in the case of a stock dividend on the Shares, or call for the surrender of outstanding Receipts to be exchanged for new Receipts, in either case, as well as in the event of newly deposited Shares, with necessary modifications to this form of Receipt specifically describing such new Deposited Securities and/or corporate change. Notwithstanding the foregoing, in the event that any security so received may not be lawfully distributed to some or all Holders, the Depositary may, with the Company’s approval, and shall if the Company requests, subject to receipt of satisfactory legal documentation contemplated in the Deposit Agreement, sell such securities at public or private sale, at such place or places and upon such terms as it may deem proper and may allocate the net proceeds of such sales (net of fees and charges of, and expenses incurred by, the Depositary and taxes) for the account of the Holders otherwise entitled to such securities and distribute the net proceeds so allocated to the extent practicable as in the case of a distribution received in cash pursuant to the Deposit Agreement. The Depositary shall not be responsible for (i) any failure to determine that it may be lawful or feasible to make such securities available to Holders in general or any Holder in particular, (ii) any foreign exchange exposure or loss incurred in connection with such sale, or (iii) any liability to the purchaser of such securities.</w:t>
      </w:r>
    </w:p>
    <w:p>
      <w:pPr>
        <w:spacing w:after="0" w:line="123" w:lineRule="exact"/>
        <w:rPr>
          <w:rFonts w:ascii="Arial" w:cs="Arial" w:eastAsia="Arial" w:hAnsi="Arial"/>
          <w:sz w:val="16"/>
          <w:szCs w:val="16"/>
          <w:color w:val="auto"/>
        </w:rPr>
      </w:pPr>
    </w:p>
    <w:p>
      <w:pPr>
        <w:ind w:right="80" w:firstLine="464"/>
        <w:spacing w:after="0" w:line="318" w:lineRule="auto"/>
        <w:tabs>
          <w:tab w:leader="none" w:pos="793" w:val="left"/>
        </w:tabs>
        <w:numPr>
          <w:ilvl w:val="0"/>
          <w:numId w:val="285"/>
        </w:numPr>
        <w:rPr>
          <w:rFonts w:ascii="Arial" w:cs="Arial" w:eastAsia="Arial" w:hAnsi="Arial"/>
          <w:sz w:val="15"/>
          <w:szCs w:val="15"/>
          <w:color w:val="auto"/>
        </w:rPr>
      </w:pPr>
      <w:r>
        <w:rPr>
          <w:rFonts w:ascii="Arial" w:cs="Arial" w:eastAsia="Arial" w:hAnsi="Arial"/>
          <w:sz w:val="15"/>
          <w:szCs w:val="15"/>
          <w:u w:val="single" w:color="auto"/>
          <w:color w:val="auto"/>
        </w:rPr>
        <w:t>Exoneration</w:t>
      </w:r>
      <w:r>
        <w:rPr>
          <w:rFonts w:ascii="Arial" w:cs="Arial" w:eastAsia="Arial" w:hAnsi="Arial"/>
          <w:sz w:val="15"/>
          <w:szCs w:val="15"/>
          <w:color w:val="auto"/>
        </w:rPr>
        <w:t>. Neither the Depositary, the Custodian or the Company shall be obligated to do or perform any act which is inconsistent with the provisions of the Deposit Agreement or shall incur any liability (i) if the Depositary, the Custodian or the Company or their respective controlling persons or agents shall be prevented or forbidden from, or subjected to any civil or criminal penalty or restraint on account of, or delayed in, doing or performing any act or thing required by the terms of the Deposit Agreement and this Receipt, by reason of any provision of any present or future law or regulation of the United States</w:t>
      </w:r>
      <w:r>
        <w:rPr>
          <w:rFonts w:ascii="Arial" w:cs="Arial" w:eastAsia="Arial" w:hAnsi="Arial"/>
          <w:sz w:val="15"/>
          <w:szCs w:val="15"/>
          <w:b w:val="1"/>
          <w:bCs w:val="1"/>
          <w:color w:val="auto"/>
        </w:rPr>
        <w:t>,</w:t>
      </w:r>
      <w:r>
        <w:rPr>
          <w:rFonts w:ascii="Arial" w:cs="Arial" w:eastAsia="Arial" w:hAnsi="Arial"/>
          <w:sz w:val="15"/>
          <w:szCs w:val="15"/>
          <w:color w:val="auto"/>
        </w:rPr>
        <w:t xml:space="preserve"> the Cayman Islands or any other country, or of any other governmental authority or regulatory authority or stock exchange, or by reason of any provision,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279" w:right="259" w:bottom="1440" w:gutter="0" w:footer="0" w:header="0"/>
        </w:sectPr>
      </w:pPr>
    </w:p>
    <w:bookmarkStart w:id="329" w:name="page330"/>
    <w:bookmarkEnd w:id="32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present or future of the Company’s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the Deposit Agreement or in the Company’s Memorandum and Articles of Association or provisions of or governing Deposited Securities, (iii) 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any inability by a Holder or Beneficial Owner to benefit from any distribution, offering, right or other benefit which is made available to holders of Deposited Securities but is not, under the terms of the Deposit Agreement, made available to Holders of ADS or (v) for any consequential or punitive damages for any breach of the terms of the Deposit Agreement. The Depositary, its controlling persons, its agents, any Custodian and the Company, its controlling persons and its agents may rely and shall be protected in acting upon any written notice, request, opinion or other document believed by it to be genuine and to have been signed or presented by the proper party or parties. No disclaimer of liability under the Securities Act is intended by any provision of the Deposit Agreement.</w:t>
      </w:r>
    </w:p>
    <w:p>
      <w:pPr>
        <w:spacing w:after="0" w:line="124" w:lineRule="exact"/>
        <w:rPr>
          <w:sz w:val="20"/>
          <w:szCs w:val="20"/>
          <w:color w:val="auto"/>
        </w:rPr>
      </w:pPr>
    </w:p>
    <w:p>
      <w:pPr>
        <w:ind w:firstLine="464"/>
        <w:spacing w:after="0" w:line="286" w:lineRule="auto"/>
        <w:tabs>
          <w:tab w:leader="none" w:pos="793"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Standard of Care</w:t>
      </w:r>
      <w:r>
        <w:rPr>
          <w:rFonts w:ascii="Arial" w:cs="Arial" w:eastAsia="Arial" w:hAnsi="Arial"/>
          <w:sz w:val="16"/>
          <w:szCs w:val="16"/>
          <w:color w:val="auto"/>
        </w:rPr>
        <w:t>. The Company and the Depositary and their respective agents assume no obligation and shall not be subject to any liability under the Deposit Agreement or the Receipts to Holders or Beneficial Owners or other persons, except in accordance with Section 5.8 of the Deposit Agreement, provided, that the Company and the Depositary and their respective agents agree to perform their respective obligations specifically set forth in the Deposit Agreement without gross negligence or bad faith. The Depositary and its agents shall not be liable for any failure to carry out any instructions to vote any of the Deposited Securities, or for the manner in which any vote is cast or the effect of any vote, provided that any such action or omission is in good faith and in accordance with the terms of the Deposit Agreement.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the Deposit Agreement or for the failure or timeliness of any notice from the Company. In no event shall the Depositary or any of its Agents be liable for any indirect, special, punitive or consequential damage.</w:t>
      </w:r>
    </w:p>
    <w:p>
      <w:pPr>
        <w:spacing w:after="0" w:line="127" w:lineRule="exact"/>
        <w:rPr>
          <w:rFonts w:ascii="Arial" w:cs="Arial" w:eastAsia="Arial" w:hAnsi="Arial"/>
          <w:sz w:val="16"/>
          <w:szCs w:val="16"/>
          <w:color w:val="auto"/>
        </w:rPr>
      </w:pPr>
    </w:p>
    <w:p>
      <w:pPr>
        <w:ind w:right="220" w:firstLine="464"/>
        <w:spacing w:after="0" w:line="239" w:lineRule="auto"/>
        <w:tabs>
          <w:tab w:leader="none" w:pos="793"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Resignation and Removal of the Depositary; Appointment of Successor Depositary</w:t>
      </w:r>
      <w:r>
        <w:rPr>
          <w:rFonts w:ascii="Arial" w:cs="Arial" w:eastAsia="Arial" w:hAnsi="Arial"/>
          <w:sz w:val="18"/>
          <w:szCs w:val="18"/>
          <w:color w:val="auto"/>
        </w:rPr>
        <w:t>. The Depositary may at any time resign as Depositary under the Deposit Agreement by written notice of resignation delivered to the Company, such resignation to be effective on the earlier of (i) the 90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delivery thereof to the Company, or (ii) upon the appointment of a successor depositary and its acceptance of such appointment as provided in the Deposit Agreement, save that, any amounts, fees, costs or expenses owed to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280" w:right="259" w:bottom="1440" w:gutter="0" w:footer="0" w:header="0"/>
        </w:sectPr>
      </w:pPr>
    </w:p>
    <w:bookmarkStart w:id="330" w:name="page331"/>
    <w:bookmarkEnd w:id="33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Depositary under the Deposit Agreement or in accordance with any other agreements otherwise agreed in writing between the Company and the Depositary from time to time shall be paid to the Depositary prior to such resignation. The Company shall use reasonable efforts to appoint such successor depositary, and give notice to the Depositary of such appointment, not more than 90 days after delivery by the Depositary of written notice of resignation as provided in the Deposit Agreement. The Depositary may at any time be removed by the Company by written notice of such removal which notice shall be effective on the later of</w:t>
      </w:r>
    </w:p>
    <w:p>
      <w:pPr>
        <w:spacing w:after="0" w:line="3" w:lineRule="exact"/>
        <w:rPr>
          <w:sz w:val="20"/>
          <w:szCs w:val="20"/>
          <w:color w:val="auto"/>
        </w:rPr>
      </w:pPr>
    </w:p>
    <w:p>
      <w:pPr>
        <w:ind w:right="60" w:firstLine="8"/>
        <w:spacing w:after="0" w:line="279" w:lineRule="auto"/>
        <w:tabs>
          <w:tab w:leader="none" w:pos="21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delivery thereof to the Depositary, or (ii) upon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removal.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upon payment of all sums due it and on the written request of the Company, shall (i) execute and deliver an instrument transferring to such successor all rights and powers of such predecessor hereunder (other than as contemplated in the Deposit Agreement),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 Any corporation into or with which the Depositary may be merged or consolidated shall be the successor of the Depositary without the execution or filing of any document or any further act.</w:t>
      </w:r>
    </w:p>
    <w:p>
      <w:pPr>
        <w:spacing w:after="0" w:line="130" w:lineRule="exact"/>
        <w:rPr>
          <w:rFonts w:ascii="Arial" w:cs="Arial" w:eastAsia="Arial" w:hAnsi="Arial"/>
          <w:sz w:val="16"/>
          <w:szCs w:val="16"/>
          <w:color w:val="auto"/>
        </w:rPr>
      </w:pPr>
    </w:p>
    <w:p>
      <w:pPr>
        <w:ind w:right="20" w:firstLine="464"/>
        <w:spacing w:after="0" w:line="287" w:lineRule="auto"/>
        <w:tabs>
          <w:tab w:leader="none" w:pos="793" w:val="left"/>
        </w:tabs>
        <w:numPr>
          <w:ilvl w:val="1"/>
          <w:numId w:val="287"/>
        </w:numPr>
        <w:rPr>
          <w:rFonts w:ascii="Arial" w:cs="Arial" w:eastAsia="Arial" w:hAnsi="Arial"/>
          <w:sz w:val="16"/>
          <w:szCs w:val="16"/>
          <w:color w:val="auto"/>
        </w:rPr>
      </w:pPr>
      <w:r>
        <w:rPr>
          <w:rFonts w:ascii="Arial" w:cs="Arial" w:eastAsia="Arial" w:hAnsi="Arial"/>
          <w:sz w:val="16"/>
          <w:szCs w:val="16"/>
          <w:u w:val="single" w:color="auto"/>
          <w:color w:val="auto"/>
        </w:rPr>
        <w:t>Amendment/Supplement</w:t>
      </w:r>
      <w:r>
        <w:rPr>
          <w:rFonts w:ascii="Arial" w:cs="Arial" w:eastAsia="Arial" w:hAnsi="Arial"/>
          <w:sz w:val="16"/>
          <w:szCs w:val="16"/>
          <w:color w:val="auto"/>
        </w:rPr>
        <w:t>. Subject to the terms and conditions of this Article (20), and applicable law, this Receipt and any provisions of the Deposit Agreement may at any time and from time to time be amended or supplemented by written agreement between the Company and the Depositary in any respect which they may deem necessary or desirable without the consent of the Holders or Beneficial Owners. Any amendment or supplement which shall impose or increase any fees or charges (other than the charges of the Depositary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The parties hereto agree that any amendments or supplements which (i) are reasonably necessary (as agreed by the Company and the Depositary) in order for (a) the ADSs to be registered on Form F-6 under the Securities Act or (b) the ADSs or Shares to be traded solely in electronic book-entry form and (ii) do not in either such case impose or increase any fees or charges to be borne by Holders, shall be deemed not to prejudice any substantial rights of Holders or Beneficial Owners. Every Holder and Beneficial Owner at the time any amendment or supplement so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280" w:right="239" w:bottom="1440" w:gutter="0" w:footer="0" w:header="0"/>
        </w:sectPr>
      </w:pPr>
    </w:p>
    <w:bookmarkStart w:id="331" w:name="page332"/>
    <w:bookmarkEnd w:id="33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becomes effective shall be deemed, by continuing to hold such ADS, to consent and agree to such amendment or supplement and to be bound by the Deposit Agreement as amended or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or rules or regulations.</w:t>
      </w:r>
    </w:p>
    <w:p>
      <w:pPr>
        <w:spacing w:after="0" w:line="118" w:lineRule="exact"/>
        <w:rPr>
          <w:sz w:val="20"/>
          <w:szCs w:val="20"/>
          <w:color w:val="auto"/>
        </w:rPr>
      </w:pPr>
    </w:p>
    <w:p>
      <w:pPr>
        <w:ind w:right="40" w:firstLine="464"/>
        <w:spacing w:after="0" w:line="304" w:lineRule="auto"/>
        <w:tabs>
          <w:tab w:leader="none" w:pos="793" w:val="left"/>
        </w:tabs>
        <w:numPr>
          <w:ilvl w:val="0"/>
          <w:numId w:val="288"/>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The Depositary shall, at any time at the written direction of the Company, terminate the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the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herein and in the Deposit Agreement, the Depositary may terminate the Deposit Agreement by mailing notice of such termination to the Holders of all Receipts then outstanding at least 30 days prior to the date fixed for such termination. On and after the date of termination of the Deposit Agreement, the Holder will, upon surrender of such Holder’s Receipt at the Principal Office of the Depositary, upon the payment of the charges of the Depositary for the surrender of Receipts referred to in Article (2) hereof and in the Deposit Agreement and subject to the conditions and restrictions therein set forth, and upon payment of any applicable taxes or governmental charges, be entitled to delivery, to him or upon his order, of the amount of Deposited Securities represented by such Receipt. If any Receipts shall remain outstanding after the date of termination of the Deposit Agreement, the Registrar thereafter shall discontinue the registration of transfers of Receipts, and the Depositary shall suspend the distribution of dividends to the Holders thereof, and shall not give any further notices or perform any further acts under the Deposit Agreement, except that the Depositary shall continue to collect dividends and other distributions pertaining to Deposited Securities, shall sell rights as provided in the Deposit Agreement, and shall continue to deliver Deposited Securities, subject to the conditions and restrictions set forth in the Deposit Agreement,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the Deposit Agreement and any applicable taxes or governmental charges or assessments). At any time after the expiration of one year from the date of termination of the Deposit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280" w:right="239" w:bottom="1440" w:gutter="0" w:footer="0" w:header="0"/>
        </w:sectPr>
      </w:pPr>
    </w:p>
    <w:bookmarkStart w:id="332" w:name="page333"/>
    <w:bookmarkEnd w:id="332"/>
    <w:p>
      <w:pPr>
        <w:ind w:right="4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the Deposit Agreement with respect to the Receipts and the Shares, Deposited Securities and ADSs, except to account for such net proceeds and other cash (after deducting, or charging, as the case may be, in each case the charges of the Depositary for the surrender of a Receipt, any expenses for the account of the Holder in accordance with the terms and conditions of the Deposit Agreement and any applicable taxes or governmental charges or assessments). Upon the termination of the Deposit Agreement, the Company shall be discharged from all obligations under the Deposit Agreement except as set forth in the Deposit Agreement.</w:t>
      </w:r>
    </w:p>
    <w:p>
      <w:pPr>
        <w:spacing w:after="0" w:line="105" w:lineRule="exact"/>
        <w:rPr>
          <w:sz w:val="20"/>
          <w:szCs w:val="20"/>
          <w:color w:val="auto"/>
        </w:rPr>
      </w:pPr>
    </w:p>
    <w:p>
      <w:pPr>
        <w:ind w:right="220" w:firstLine="464"/>
        <w:spacing w:after="0" w:line="306" w:lineRule="auto"/>
        <w:tabs>
          <w:tab w:leader="none" w:pos="793" w:val="left"/>
        </w:tabs>
        <w:numPr>
          <w:ilvl w:val="1"/>
          <w:numId w:val="289"/>
        </w:numPr>
        <w:rPr>
          <w:rFonts w:ascii="Arial" w:cs="Arial" w:eastAsia="Arial" w:hAnsi="Arial"/>
          <w:sz w:val="16"/>
          <w:szCs w:val="16"/>
          <w:color w:val="auto"/>
        </w:rPr>
      </w:pPr>
      <w:r>
        <w:rPr>
          <w:rFonts w:ascii="Arial" w:cs="Arial" w:eastAsia="Arial" w:hAnsi="Arial"/>
          <w:sz w:val="16"/>
          <w:szCs w:val="16"/>
          <w:u w:val="single" w:color="auto"/>
          <w:color w:val="auto"/>
        </w:rPr>
        <w:t>Compliance with U.S. Securities Laws; Regulatory Compliance</w:t>
      </w:r>
      <w:r>
        <w:rPr>
          <w:rFonts w:ascii="Arial" w:cs="Arial" w:eastAsia="Arial" w:hAnsi="Arial"/>
          <w:sz w:val="16"/>
          <w:szCs w:val="16"/>
          <w:color w:val="auto"/>
        </w:rPr>
        <w:t>. Notwithstanding any provisions in this Receipt or the Deposit Agreement to the contrary, the withdrawal or delivery of Deposited Securities will not be suspended by the Company or the Depositary except as would be permitted by Section I.A.(1) of the General Instructions to the Form F-6 Registration Statement, as amended from time to time, under the Securities Act.</w:t>
      </w:r>
    </w:p>
    <w:p>
      <w:pPr>
        <w:spacing w:after="0" w:line="106" w:lineRule="exact"/>
        <w:rPr>
          <w:rFonts w:ascii="Arial" w:cs="Arial" w:eastAsia="Arial" w:hAnsi="Arial"/>
          <w:sz w:val="16"/>
          <w:szCs w:val="16"/>
          <w:color w:val="auto"/>
        </w:rPr>
      </w:pPr>
    </w:p>
    <w:p>
      <w:pPr>
        <w:ind w:firstLine="464"/>
        <w:spacing w:after="0" w:line="301" w:lineRule="auto"/>
        <w:tabs>
          <w:tab w:leader="none" w:pos="793" w:val="left"/>
        </w:tabs>
        <w:numPr>
          <w:ilvl w:val="1"/>
          <w:numId w:val="289"/>
        </w:numPr>
        <w:rPr>
          <w:rFonts w:ascii="Arial" w:cs="Arial" w:eastAsia="Arial" w:hAnsi="Arial"/>
          <w:sz w:val="15"/>
          <w:szCs w:val="15"/>
          <w:color w:val="auto"/>
        </w:rPr>
      </w:pPr>
      <w:r>
        <w:rPr>
          <w:rFonts w:ascii="Arial" w:cs="Arial" w:eastAsia="Arial" w:hAnsi="Arial"/>
          <w:sz w:val="15"/>
          <w:szCs w:val="15"/>
          <w:u w:val="single" w:color="auto"/>
          <w:color w:val="auto"/>
        </w:rPr>
        <w:t>Certain Rights of the Depositary; Limitations</w:t>
      </w:r>
      <w:r>
        <w:rPr>
          <w:rFonts w:ascii="Arial" w:cs="Arial" w:eastAsia="Arial" w:hAnsi="Arial"/>
          <w:sz w:val="15"/>
          <w:szCs w:val="15"/>
          <w:color w:val="auto"/>
        </w:rPr>
        <w:t xml:space="preserve">. Subject to the further terms and provisions of this Article (23), the Depositary, its Affiliates and their agents, on their own behalf, may own and deal in any class of securities of the Company and its Affiliates and in ADSs.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on behalf of the holder thereof. In its capacity as Depositary, the Depositary shall not lend Shares or ADSs;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Depositary may (i) issue ADSs prior to the receipt of Shares pursuant to Section 2.3 of the Deposit Agreement and (ii) deliver Shares prior to the receipt and cancellation of ADSs pursuant to Section 2.6 of the Deposit Agreement, including ADSs which were issued under (i) above but for which Shares may not have been received (each such transaction a “Pre-Release Transaction”). The Depositary may receive ADSs in lieu of Shares under (i) above and receive Shares in lieu of ADSs under (ii) above. Each such Pre-Release Transaction will be (a) accompanied by or subject to a written agreement whereby the person or entity (the “Applicant”) to whom ADSs or Shares are to be delivered (1) represents that at the time of the Pre-Release Transaction the Applicant or its customer owns the Shares or ADSs that are to be delivered by the Applicant under such Pre-Release Transaction, (2) agrees to indicate the Depositary as owner of such Shares or ADSs in its records and to hold such Shares or ADSs in trust for the Depositary until such Shares or ADSs are delivered to the Depositary or the Custodian,</w:t>
      </w:r>
    </w:p>
    <w:p>
      <w:pPr>
        <w:spacing w:after="0" w:line="3" w:lineRule="exact"/>
        <w:rPr>
          <w:rFonts w:ascii="Arial" w:cs="Arial" w:eastAsia="Arial" w:hAnsi="Arial"/>
          <w:sz w:val="15"/>
          <w:szCs w:val="15"/>
          <w:color w:val="auto"/>
        </w:rPr>
      </w:pPr>
    </w:p>
    <w:p>
      <w:pPr>
        <w:ind w:right="160" w:firstLine="8"/>
        <w:spacing w:after="0" w:line="295" w:lineRule="auto"/>
        <w:tabs>
          <w:tab w:leader="none" w:pos="249" w:val="left"/>
        </w:tabs>
        <w:numPr>
          <w:ilvl w:val="0"/>
          <w:numId w:val="290"/>
        </w:numPr>
        <w:rPr>
          <w:rFonts w:ascii="Arial" w:cs="Arial" w:eastAsia="Arial" w:hAnsi="Arial"/>
          <w:sz w:val="16"/>
          <w:szCs w:val="16"/>
          <w:color w:val="auto"/>
        </w:rPr>
      </w:pPr>
      <w:r>
        <w:rPr>
          <w:rFonts w:ascii="Arial" w:cs="Arial" w:eastAsia="Arial" w:hAnsi="Arial"/>
          <w:sz w:val="16"/>
          <w:szCs w:val="16"/>
          <w:color w:val="auto"/>
        </w:rPr>
        <w:t>unconditionally guarantees to deliver to the Depositary or the Custodian, as applicable, such Shares or ADSs and (4)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360"/>
          </w:cols>
          <w:pgMar w:left="240" w:top="279" w:right="299" w:bottom="1440" w:gutter="0" w:footer="0" w:header="0"/>
        </w:sectPr>
      </w:pPr>
    </w:p>
    <w:bookmarkStart w:id="333" w:name="page334"/>
    <w:bookmarkEnd w:id="33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number of ADSs and Shares involved in such Pre-Release Transactions at any one time to thirty percent (30%) of the ADSs outstanding (without giving effect to ADSs outstanding under (i)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Depositary reserves the right to change or disregard such limit from time to time as it deems appropriate, including (i) due to a decrease in the aggregate number of ADSs outstanding that causes existing Pre-Release Transactions to temporarily exceed the limit stated above or (ii) where otherwise required by market conditions. The Depositary may also set limits with respect to the number of ADSs and Shares involved in Pre-Release Transactions with any one person on a case by case basis as it deems appropriate. The Depositary may retain for its own account any compensation received by it in conjunction with the foregoing. Collateral provided pursuant to (b) above, but not earnings thereon, shall be held for the benefit of the Holders (other than the Applicant).</w:t>
      </w:r>
    </w:p>
    <w:p>
      <w:pPr>
        <w:spacing w:after="0" w:line="118" w:lineRule="exact"/>
        <w:rPr>
          <w:sz w:val="20"/>
          <w:szCs w:val="20"/>
          <w:color w:val="auto"/>
        </w:rPr>
      </w:pPr>
    </w:p>
    <w:p>
      <w:pPr>
        <w:ind w:right="80" w:firstLine="464"/>
        <w:spacing w:after="0" w:line="306" w:lineRule="auto"/>
        <w:tabs>
          <w:tab w:leader="none" w:pos="793"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Ownership Restrictions</w:t>
      </w:r>
      <w:r>
        <w:rPr>
          <w:rFonts w:ascii="Arial" w:cs="Arial" w:eastAsia="Arial" w:hAnsi="Arial"/>
          <w:sz w:val="16"/>
          <w:szCs w:val="16"/>
          <w:color w:val="auto"/>
        </w:rPr>
        <w:t>. Owners and Beneficial Owners shall comply with any limitations on ownership of Shares under the Memorandum and Articles of Association of the Company or applicable Cayman Islands law as if they held the number of Shares their American Depositary Shares represent. The Company shall inform the Owners, Beneficial Owners and the Depositary of any such ownership restrictions in place from time to time.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60"/>
          </w:cols>
          <w:pgMar w:left="240" w:top="279" w:right="29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680" w:type="dxa"/>
            <w:vAlign w:val="bottom"/>
            <w:gridSpan w:val="6"/>
          </w:tcPr>
          <w:p>
            <w:pPr>
              <w:ind w:left="60"/>
              <w:spacing w:after="0"/>
              <w:rPr>
                <w:sz w:val="20"/>
                <w:szCs w:val="20"/>
                <w:color w:val="auto"/>
              </w:rPr>
            </w:pPr>
            <w:r>
              <w:rPr>
                <w:rFonts w:ascii="Arial" w:cs="Arial" w:eastAsia="Arial" w:hAnsi="Arial"/>
                <w:sz w:val="18"/>
                <w:szCs w:val="18"/>
                <w:b w:val="1"/>
                <w:bCs w:val="1"/>
                <w:color w:val="auto"/>
              </w:rPr>
              <w:t>(ASSIGNMENT AND TRANSFER SIGNATURE LINES)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40"/>
        </w:trPr>
        <w:tc>
          <w:tcPr>
            <w:tcW w:w="7240" w:type="dxa"/>
            <w:vAlign w:val="bottom"/>
            <w:gridSpan w:val="7"/>
          </w:tcPr>
          <w:p>
            <w:pPr>
              <w:ind w:left="460"/>
              <w:spacing w:after="0"/>
              <w:rPr>
                <w:sz w:val="20"/>
                <w:szCs w:val="20"/>
                <w:color w:val="auto"/>
              </w:rPr>
            </w:pPr>
            <w:r>
              <w:rPr>
                <w:rFonts w:ascii="Arial" w:cs="Arial" w:eastAsia="Arial" w:hAnsi="Arial"/>
                <w:sz w:val="18"/>
                <w:szCs w:val="18"/>
                <w:color w:val="auto"/>
                <w:w w:val="89"/>
              </w:rPr>
              <w:t>FOR VALUE RECEIVED, the undersigned Holder hereby sell(s), assign(s) and transfer(s) unto</w:t>
            </w: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60" w:type="dxa"/>
            <w:vAlign w:val="bottom"/>
          </w:tcPr>
          <w:p>
            <w:pPr>
              <w:ind w:left="40"/>
              <w:spacing w:after="0"/>
              <w:rPr>
                <w:sz w:val="20"/>
                <w:szCs w:val="20"/>
                <w:color w:val="auto"/>
              </w:rPr>
            </w:pPr>
            <w:r>
              <w:rPr>
                <w:rFonts w:ascii="Arial" w:cs="Arial" w:eastAsia="Arial" w:hAnsi="Arial"/>
                <w:sz w:val="18"/>
                <w:szCs w:val="18"/>
                <w:color w:val="auto"/>
              </w:rPr>
              <w:t>whose taxpayer</w:t>
            </w: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w w:val="92"/>
              </w:rPr>
              <w:t>identification number is</w:t>
            </w:r>
          </w:p>
        </w:tc>
        <w:tc>
          <w:tcPr>
            <w:tcW w:w="1760" w:type="dxa"/>
            <w:vAlign w:val="bottom"/>
          </w:tcPr>
          <w:p>
            <w:pPr>
              <w:spacing w:after="0"/>
              <w:rPr>
                <w:sz w:val="17"/>
                <w:szCs w:val="17"/>
                <w:color w:val="auto"/>
              </w:rPr>
            </w:pPr>
          </w:p>
        </w:tc>
        <w:tc>
          <w:tcPr>
            <w:tcW w:w="338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88"/>
              </w:rPr>
              <w:t>and whose address including postal zip code is</w:t>
            </w:r>
          </w:p>
        </w:tc>
        <w:tc>
          <w:tcPr>
            <w:tcW w:w="1300" w:type="dxa"/>
            <w:vAlign w:val="bottom"/>
            <w:gridSpan w:val="2"/>
          </w:tcPr>
          <w:p>
            <w:pPr>
              <w:spacing w:after="0"/>
              <w:rPr>
                <w:sz w:val="17"/>
                <w:szCs w:val="17"/>
                <w:color w:val="auto"/>
              </w:rPr>
            </w:pPr>
          </w:p>
        </w:tc>
        <w:tc>
          <w:tcPr>
            <w:tcW w:w="326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 the within Receipt and all rights</w:t>
            </w:r>
          </w:p>
        </w:tc>
      </w:tr>
      <w:tr>
        <w:trPr>
          <w:trHeight w:val="20"/>
        </w:trPr>
        <w:tc>
          <w:tcPr>
            <w:tcW w:w="17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r>
      <w:tr>
        <w:trPr>
          <w:trHeight w:val="196"/>
        </w:trPr>
        <w:tc>
          <w:tcPr>
            <w:tcW w:w="4160" w:type="dxa"/>
            <w:vAlign w:val="bottom"/>
            <w:gridSpan w:val="3"/>
          </w:tcPr>
          <w:p>
            <w:pPr>
              <w:spacing w:after="0" w:line="196" w:lineRule="exact"/>
              <w:rPr>
                <w:sz w:val="20"/>
                <w:szCs w:val="20"/>
                <w:color w:val="auto"/>
              </w:rPr>
            </w:pPr>
            <w:r>
              <w:rPr>
                <w:rFonts w:ascii="Arial" w:cs="Arial" w:eastAsia="Arial" w:hAnsi="Arial"/>
                <w:sz w:val="18"/>
                <w:szCs w:val="18"/>
                <w:color w:val="auto"/>
                <w:w w:val="89"/>
              </w:rPr>
              <w:t>thereunder, hereby irrevocably constituting and appointing</w:t>
            </w:r>
          </w:p>
        </w:tc>
        <w:tc>
          <w:tcPr>
            <w:tcW w:w="1580" w:type="dxa"/>
            <w:vAlign w:val="bottom"/>
            <w:tcBorders>
              <w:bottom w:val="single" w:sz="8" w:color="auto"/>
            </w:tcBorders>
          </w:tcPr>
          <w:p>
            <w:pPr>
              <w:spacing w:after="0"/>
              <w:rPr>
                <w:sz w:val="17"/>
                <w:szCs w:val="17"/>
                <w:color w:val="auto"/>
              </w:rPr>
            </w:pPr>
          </w:p>
        </w:tc>
        <w:tc>
          <w:tcPr>
            <w:tcW w:w="5680" w:type="dxa"/>
            <w:vAlign w:val="bottom"/>
            <w:gridSpan w:val="7"/>
          </w:tcPr>
          <w:p>
            <w:pPr>
              <w:ind w:left="60"/>
              <w:spacing w:after="0" w:line="196" w:lineRule="exact"/>
              <w:rPr>
                <w:sz w:val="20"/>
                <w:szCs w:val="20"/>
                <w:color w:val="auto"/>
              </w:rPr>
            </w:pPr>
            <w:r>
              <w:rPr>
                <w:rFonts w:ascii="Arial" w:cs="Arial" w:eastAsia="Arial" w:hAnsi="Arial"/>
                <w:sz w:val="18"/>
                <w:szCs w:val="18"/>
                <w:color w:val="auto"/>
                <w:w w:val="89"/>
              </w:rPr>
              <w:t>attorney-in-fact to transfer said Receipt on the books of the Depositary with full</w:t>
            </w:r>
          </w:p>
        </w:tc>
      </w:tr>
      <w:tr>
        <w:trPr>
          <w:trHeight w:val="235"/>
        </w:trPr>
        <w:tc>
          <w:tcPr>
            <w:tcW w:w="3480" w:type="dxa"/>
            <w:vAlign w:val="bottom"/>
            <w:gridSpan w:val="2"/>
          </w:tcPr>
          <w:p>
            <w:pPr>
              <w:spacing w:after="0"/>
              <w:rPr>
                <w:sz w:val="20"/>
                <w:szCs w:val="20"/>
                <w:color w:val="auto"/>
              </w:rPr>
            </w:pPr>
            <w:r>
              <w:rPr>
                <w:rFonts w:ascii="Arial" w:cs="Arial" w:eastAsia="Arial" w:hAnsi="Arial"/>
                <w:sz w:val="18"/>
                <w:szCs w:val="18"/>
                <w:color w:val="auto"/>
              </w:rPr>
              <w:t>power of substitution in the premises.</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07"/>
        </w:trPr>
        <w:tc>
          <w:tcPr>
            <w:tcW w:w="3480" w:type="dxa"/>
            <w:vAlign w:val="bottom"/>
            <w:gridSpan w:val="2"/>
          </w:tcPr>
          <w:p>
            <w:pPr>
              <w:spacing w:after="0"/>
              <w:rPr>
                <w:sz w:val="20"/>
                <w:szCs w:val="20"/>
                <w:color w:val="auto"/>
              </w:rPr>
            </w:pPr>
            <w:r>
              <w:rPr>
                <w:rFonts w:ascii="Arial" w:cs="Arial" w:eastAsia="Arial" w:hAnsi="Arial"/>
                <w:sz w:val="18"/>
                <w:szCs w:val="18"/>
                <w:color w:val="auto"/>
              </w:rPr>
              <w:t>Dated:</w:t>
            </w:r>
          </w:p>
        </w:tc>
        <w:tc>
          <w:tcPr>
            <w:tcW w:w="680" w:type="dxa"/>
            <w:vAlign w:val="bottom"/>
          </w:tcPr>
          <w:p>
            <w:pPr>
              <w:spacing w:after="0"/>
              <w:rPr>
                <w:sz w:val="24"/>
                <w:szCs w:val="24"/>
                <w:color w:val="auto"/>
              </w:rPr>
            </w:pPr>
          </w:p>
        </w:tc>
        <w:tc>
          <w:tcPr>
            <w:tcW w:w="1900" w:type="dxa"/>
            <w:vAlign w:val="bottom"/>
            <w:gridSpan w:val="2"/>
          </w:tcPr>
          <w:p>
            <w:pPr>
              <w:ind w:left="1320"/>
              <w:spacing w:after="0"/>
              <w:rPr>
                <w:sz w:val="20"/>
                <w:szCs w:val="20"/>
                <w:color w:val="auto"/>
              </w:rPr>
            </w:pPr>
            <w:r>
              <w:rPr>
                <w:rFonts w:ascii="Arial" w:cs="Arial" w:eastAsia="Arial" w:hAnsi="Arial"/>
                <w:sz w:val="18"/>
                <w:szCs w:val="18"/>
                <w:color w:val="auto"/>
              </w:rPr>
              <w:t>Name:</w:t>
            </w:r>
          </w:p>
        </w:tc>
        <w:tc>
          <w:tcPr>
            <w:tcW w:w="2100" w:type="dxa"/>
            <w:vAlign w:val="bottom"/>
            <w:tcBorders>
              <w:bottom w:val="single" w:sz="8" w:color="auto"/>
            </w:tcBorders>
            <w:gridSpan w:val="3"/>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215"/>
        </w:trPr>
        <w:tc>
          <w:tcPr>
            <w:tcW w:w="17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0" w:type="dxa"/>
            <w:vAlign w:val="bottom"/>
            <w:gridSpan w:val="5"/>
          </w:tcPr>
          <w:p>
            <w:pPr>
              <w:ind w:left="1320"/>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0" w:type="dxa"/>
            <w:vAlign w:val="bottom"/>
            <w:gridSpan w:val="5"/>
          </w:tcPr>
          <w:p>
            <w:pPr>
              <w:ind w:left="1320"/>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5480" w:right="120"/>
        <w:spacing w:after="0" w:line="306" w:lineRule="auto"/>
        <w:rPr>
          <w:sz w:val="20"/>
          <w:szCs w:val="20"/>
          <w:color w:val="auto"/>
        </w:rPr>
      </w:pPr>
      <w:r>
        <w:rPr>
          <w:rFonts w:ascii="Arial" w:cs="Arial" w:eastAsia="Arial" w:hAnsi="Arial"/>
          <w:sz w:val="16"/>
          <w:szCs w:val="16"/>
          <w:color w:val="auto"/>
        </w:rPr>
        <w:t>NOTICE: The signature of the Holder to this assignment must correspond with the name as written upon the face of the within instrument in every particular, without alteration or enlargement or any change whatsoever.</w:t>
      </w:r>
    </w:p>
    <w:p>
      <w:pPr>
        <w:spacing w:after="0" w:line="161" w:lineRule="exact"/>
        <w:rPr>
          <w:sz w:val="20"/>
          <w:szCs w:val="20"/>
          <w:color w:val="auto"/>
        </w:rPr>
      </w:pPr>
    </w:p>
    <w:p>
      <w:pPr>
        <w:jc w:val="both"/>
        <w:ind w:left="5480" w:right="120"/>
        <w:spacing w:after="0" w:line="298" w:lineRule="auto"/>
        <w:rPr>
          <w:sz w:val="20"/>
          <w:szCs w:val="20"/>
          <w:color w:val="auto"/>
        </w:rPr>
      </w:pPr>
      <w:r>
        <w:rPr>
          <w:rFonts w:ascii="Arial" w:cs="Arial" w:eastAsia="Arial" w:hAnsi="Arial"/>
          <w:sz w:val="16"/>
          <w:szCs w:val="16"/>
          <w:color w:val="auto"/>
        </w:rPr>
        <w:t>If the endorsement be executed by an attorney, executor, administrator, trustee or guardian, the person executing the endorsement must give his/her full title in such capacity and proper evidence of authority to act in such capacity, if not on file with the Depositary, must be forwarded with this Receipt.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311277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274" w:right="2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82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9320" w:type="dxa"/>
            <w:vAlign w:val="bottom"/>
          </w:tcPr>
          <w:p>
            <w:pPr>
              <w:ind w:left="200"/>
              <w:spacing w:after="0"/>
              <w:rPr>
                <w:sz w:val="20"/>
                <w:szCs w:val="20"/>
                <w:color w:val="auto"/>
              </w:rPr>
            </w:pPr>
            <w:r>
              <w:rPr>
                <w:rFonts w:ascii="Arial" w:cs="Arial" w:eastAsia="Arial" w:hAnsi="Arial"/>
                <w:sz w:val="18"/>
                <w:szCs w:val="18"/>
                <w:color w:val="auto"/>
              </w:rPr>
              <w:t>“Affiliate”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9320" w:type="dxa"/>
            <w:vAlign w:val="bottom"/>
          </w:tcPr>
          <w:p>
            <w:pPr>
              <w:ind w:left="200"/>
              <w:spacing w:after="0"/>
              <w:rPr>
                <w:sz w:val="20"/>
                <w:szCs w:val="20"/>
                <w:color w:val="auto"/>
              </w:rPr>
            </w:pPr>
            <w:r>
              <w:rPr>
                <w:rFonts w:ascii="Arial" w:cs="Arial" w:eastAsia="Arial" w:hAnsi="Arial"/>
                <w:sz w:val="18"/>
                <w:szCs w:val="18"/>
                <w:color w:val="auto"/>
              </w:rPr>
              <w:t>“Agent”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1.3</w:t>
            </w:r>
          </w:p>
        </w:tc>
        <w:tc>
          <w:tcPr>
            <w:tcW w:w="9320" w:type="dxa"/>
            <w:vAlign w:val="bottom"/>
          </w:tcPr>
          <w:p>
            <w:pPr>
              <w:ind w:left="200"/>
              <w:spacing w:after="0"/>
              <w:rPr>
                <w:sz w:val="20"/>
                <w:szCs w:val="20"/>
                <w:color w:val="auto"/>
              </w:rPr>
            </w:pPr>
            <w:r>
              <w:rPr>
                <w:rFonts w:ascii="Arial" w:cs="Arial" w:eastAsia="Arial" w:hAnsi="Arial"/>
                <w:sz w:val="18"/>
                <w:szCs w:val="18"/>
                <w:color w:val="auto"/>
              </w:rPr>
              <w:t>“American Depositary Share(s)” and “ADS(s)”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1.4</w:t>
            </w:r>
          </w:p>
        </w:tc>
        <w:tc>
          <w:tcPr>
            <w:tcW w:w="9320" w:type="dxa"/>
            <w:vAlign w:val="bottom"/>
          </w:tcPr>
          <w:p>
            <w:pPr>
              <w:ind w:left="200"/>
              <w:spacing w:after="0"/>
              <w:rPr>
                <w:sz w:val="20"/>
                <w:szCs w:val="20"/>
                <w:color w:val="auto"/>
              </w:rPr>
            </w:pPr>
            <w:r>
              <w:rPr>
                <w:rFonts w:ascii="Arial" w:cs="Arial" w:eastAsia="Arial" w:hAnsi="Arial"/>
                <w:sz w:val="18"/>
                <w:szCs w:val="18"/>
                <w:color w:val="auto"/>
              </w:rPr>
              <w:t>“ADS Record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1.5</w:t>
            </w:r>
          </w:p>
        </w:tc>
        <w:tc>
          <w:tcPr>
            <w:tcW w:w="9320" w:type="dxa"/>
            <w:vAlign w:val="bottom"/>
          </w:tcPr>
          <w:p>
            <w:pPr>
              <w:ind w:left="200"/>
              <w:spacing w:after="0"/>
              <w:rPr>
                <w:sz w:val="20"/>
                <w:szCs w:val="20"/>
                <w:color w:val="auto"/>
              </w:rPr>
            </w:pPr>
            <w:r>
              <w:rPr>
                <w:rFonts w:ascii="Arial" w:cs="Arial" w:eastAsia="Arial" w:hAnsi="Arial"/>
                <w:sz w:val="18"/>
                <w:szCs w:val="18"/>
                <w:color w:val="auto"/>
              </w:rPr>
              <w:t>“Beneficial Owner”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1.6</w:t>
            </w:r>
          </w:p>
        </w:tc>
        <w:tc>
          <w:tcPr>
            <w:tcW w:w="9320" w:type="dxa"/>
            <w:vAlign w:val="bottom"/>
          </w:tcPr>
          <w:p>
            <w:pPr>
              <w:ind w:left="200"/>
              <w:spacing w:after="0"/>
              <w:rPr>
                <w:sz w:val="20"/>
                <w:szCs w:val="20"/>
                <w:color w:val="auto"/>
              </w:rPr>
            </w:pPr>
            <w:r>
              <w:rPr>
                <w:rFonts w:ascii="Arial" w:cs="Arial" w:eastAsia="Arial" w:hAnsi="Arial"/>
                <w:sz w:val="18"/>
                <w:szCs w:val="18"/>
                <w:color w:val="auto"/>
              </w:rPr>
              <w:t>“Business Day”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1.7</w:t>
            </w:r>
          </w:p>
        </w:tc>
        <w:tc>
          <w:tcPr>
            <w:tcW w:w="9320" w:type="dxa"/>
            <w:vAlign w:val="bottom"/>
          </w:tcPr>
          <w:p>
            <w:pPr>
              <w:ind w:left="200"/>
              <w:spacing w:after="0"/>
              <w:rPr>
                <w:sz w:val="20"/>
                <w:szCs w:val="20"/>
                <w:color w:val="auto"/>
              </w:rPr>
            </w:pPr>
            <w:r>
              <w:rPr>
                <w:rFonts w:ascii="Arial" w:cs="Arial" w:eastAsia="Arial" w:hAnsi="Arial"/>
                <w:sz w:val="18"/>
                <w:szCs w:val="18"/>
                <w:color w:val="auto"/>
              </w:rPr>
              <w:t>“Commission”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1.8</w:t>
            </w:r>
          </w:p>
        </w:tc>
        <w:tc>
          <w:tcPr>
            <w:tcW w:w="9320" w:type="dxa"/>
            <w:vAlign w:val="bottom"/>
          </w:tcPr>
          <w:p>
            <w:pPr>
              <w:ind w:left="200"/>
              <w:spacing w:after="0"/>
              <w:rPr>
                <w:sz w:val="20"/>
                <w:szCs w:val="20"/>
                <w:color w:val="auto"/>
              </w:rPr>
            </w:pPr>
            <w:r>
              <w:rPr>
                <w:rFonts w:ascii="Arial" w:cs="Arial" w:eastAsia="Arial" w:hAnsi="Arial"/>
                <w:sz w:val="18"/>
                <w:szCs w:val="18"/>
                <w:color w:val="auto"/>
              </w:rPr>
              <w:t>“Company”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1.9</w:t>
            </w:r>
          </w:p>
        </w:tc>
        <w:tc>
          <w:tcPr>
            <w:tcW w:w="9320" w:type="dxa"/>
            <w:vAlign w:val="bottom"/>
          </w:tcPr>
          <w:p>
            <w:pPr>
              <w:ind w:left="200"/>
              <w:spacing w:after="0"/>
              <w:rPr>
                <w:sz w:val="20"/>
                <w:szCs w:val="20"/>
                <w:color w:val="auto"/>
              </w:rPr>
            </w:pPr>
            <w:r>
              <w:rPr>
                <w:rFonts w:ascii="Arial" w:cs="Arial" w:eastAsia="Arial" w:hAnsi="Arial"/>
                <w:sz w:val="18"/>
                <w:szCs w:val="18"/>
                <w:color w:val="auto"/>
              </w:rPr>
              <w:t>“Custodian”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1.10</w:t>
            </w:r>
          </w:p>
        </w:tc>
        <w:tc>
          <w:tcPr>
            <w:tcW w:w="9320" w:type="dxa"/>
            <w:vAlign w:val="bottom"/>
          </w:tcPr>
          <w:p>
            <w:pPr>
              <w:ind w:left="200"/>
              <w:spacing w:after="0"/>
              <w:rPr>
                <w:sz w:val="20"/>
                <w:szCs w:val="20"/>
                <w:color w:val="auto"/>
              </w:rPr>
            </w:pPr>
            <w:r>
              <w:rPr>
                <w:rFonts w:ascii="Arial" w:cs="Arial" w:eastAsia="Arial" w:hAnsi="Arial"/>
                <w:sz w:val="18"/>
                <w:szCs w:val="18"/>
                <w:color w:val="auto"/>
              </w:rPr>
              <w:t>“Deliver” and “Delivery”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1.11</w:t>
            </w:r>
          </w:p>
        </w:tc>
        <w:tc>
          <w:tcPr>
            <w:tcW w:w="9320" w:type="dxa"/>
            <w:vAlign w:val="bottom"/>
          </w:tcPr>
          <w:p>
            <w:pPr>
              <w:ind w:left="200"/>
              <w:spacing w:after="0"/>
              <w:rPr>
                <w:sz w:val="20"/>
                <w:szCs w:val="20"/>
                <w:color w:val="auto"/>
              </w:rPr>
            </w:pPr>
            <w:r>
              <w:rPr>
                <w:rFonts w:ascii="Arial" w:cs="Arial" w:eastAsia="Arial" w:hAnsi="Arial"/>
                <w:sz w:val="18"/>
                <w:szCs w:val="18"/>
                <w:color w:val="auto"/>
              </w:rPr>
              <w:t>“Deposit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1.12</w:t>
            </w:r>
          </w:p>
        </w:tc>
        <w:tc>
          <w:tcPr>
            <w:tcW w:w="9320" w:type="dxa"/>
            <w:vAlign w:val="bottom"/>
          </w:tcPr>
          <w:p>
            <w:pPr>
              <w:ind w:left="200"/>
              <w:spacing w:after="0"/>
              <w:rPr>
                <w:sz w:val="20"/>
                <w:szCs w:val="20"/>
                <w:color w:val="auto"/>
              </w:rPr>
            </w:pPr>
            <w:r>
              <w:rPr>
                <w:rFonts w:ascii="Arial" w:cs="Arial" w:eastAsia="Arial" w:hAnsi="Arial"/>
                <w:sz w:val="18"/>
                <w:szCs w:val="18"/>
                <w:color w:val="auto"/>
              </w:rPr>
              <w:t>“Depositary”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1.13</w:t>
            </w:r>
          </w:p>
        </w:tc>
        <w:tc>
          <w:tcPr>
            <w:tcW w:w="9320" w:type="dxa"/>
            <w:vAlign w:val="bottom"/>
          </w:tcPr>
          <w:p>
            <w:pPr>
              <w:ind w:left="200"/>
              <w:spacing w:after="0"/>
              <w:rPr>
                <w:sz w:val="20"/>
                <w:szCs w:val="20"/>
                <w:color w:val="auto"/>
              </w:rPr>
            </w:pPr>
            <w:r>
              <w:rPr>
                <w:rFonts w:ascii="Arial" w:cs="Arial" w:eastAsia="Arial" w:hAnsi="Arial"/>
                <w:sz w:val="18"/>
                <w:szCs w:val="18"/>
                <w:color w:val="auto"/>
              </w:rPr>
              <w:t>“Deposited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1.14</w:t>
            </w:r>
          </w:p>
        </w:tc>
        <w:tc>
          <w:tcPr>
            <w:tcW w:w="9320" w:type="dxa"/>
            <w:vAlign w:val="bottom"/>
          </w:tcPr>
          <w:p>
            <w:pPr>
              <w:ind w:left="200"/>
              <w:spacing w:after="0"/>
              <w:rPr>
                <w:sz w:val="20"/>
                <w:szCs w:val="20"/>
                <w:color w:val="auto"/>
              </w:rPr>
            </w:pPr>
            <w:r>
              <w:rPr>
                <w:rFonts w:ascii="Arial" w:cs="Arial" w:eastAsia="Arial" w:hAnsi="Arial"/>
                <w:sz w:val="18"/>
                <w:szCs w:val="18"/>
                <w:color w:val="auto"/>
              </w:rPr>
              <w:t>“Dollars” and “$”</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1.15</w:t>
            </w:r>
          </w:p>
        </w:tc>
        <w:tc>
          <w:tcPr>
            <w:tcW w:w="9320" w:type="dxa"/>
            <w:vAlign w:val="bottom"/>
          </w:tcPr>
          <w:p>
            <w:pPr>
              <w:ind w:left="200"/>
              <w:spacing w:after="0"/>
              <w:rPr>
                <w:sz w:val="20"/>
                <w:szCs w:val="20"/>
                <w:color w:val="auto"/>
              </w:rPr>
            </w:pPr>
            <w:r>
              <w:rPr>
                <w:rFonts w:ascii="Arial" w:cs="Arial" w:eastAsia="Arial" w:hAnsi="Arial"/>
                <w:sz w:val="18"/>
                <w:szCs w:val="18"/>
                <w:color w:val="auto"/>
              </w:rPr>
              <w:t>“DRS/Profile”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1.16</w:t>
            </w:r>
          </w:p>
        </w:tc>
        <w:tc>
          <w:tcPr>
            <w:tcW w:w="9320" w:type="dxa"/>
            <w:vAlign w:val="bottom"/>
          </w:tcPr>
          <w:p>
            <w:pPr>
              <w:ind w:left="200"/>
              <w:spacing w:after="0"/>
              <w:rPr>
                <w:sz w:val="20"/>
                <w:szCs w:val="20"/>
                <w:color w:val="auto"/>
              </w:rPr>
            </w:pPr>
            <w:r>
              <w:rPr>
                <w:rFonts w:ascii="Arial" w:cs="Arial" w:eastAsia="Arial" w:hAnsi="Arial"/>
                <w:sz w:val="18"/>
                <w:szCs w:val="18"/>
                <w:color w:val="auto"/>
              </w:rPr>
              <w:t>“DTC”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1.17</w:t>
            </w:r>
          </w:p>
        </w:tc>
        <w:tc>
          <w:tcPr>
            <w:tcW w:w="9320" w:type="dxa"/>
            <w:vAlign w:val="bottom"/>
          </w:tcPr>
          <w:p>
            <w:pPr>
              <w:ind w:left="200"/>
              <w:spacing w:after="0"/>
              <w:rPr>
                <w:sz w:val="20"/>
                <w:szCs w:val="20"/>
                <w:color w:val="auto"/>
              </w:rPr>
            </w:pPr>
            <w:r>
              <w:rPr>
                <w:rFonts w:ascii="Arial" w:cs="Arial" w:eastAsia="Arial" w:hAnsi="Arial"/>
                <w:sz w:val="18"/>
                <w:szCs w:val="18"/>
                <w:color w:val="auto"/>
              </w:rPr>
              <w:t>“Exchange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1.18</w:t>
            </w:r>
          </w:p>
        </w:tc>
        <w:tc>
          <w:tcPr>
            <w:tcW w:w="9320" w:type="dxa"/>
            <w:vAlign w:val="bottom"/>
          </w:tcPr>
          <w:p>
            <w:pPr>
              <w:ind w:left="200"/>
              <w:spacing w:after="0"/>
              <w:rPr>
                <w:sz w:val="20"/>
                <w:szCs w:val="20"/>
                <w:color w:val="auto"/>
              </w:rPr>
            </w:pPr>
            <w:r>
              <w:rPr>
                <w:rFonts w:ascii="Arial" w:cs="Arial" w:eastAsia="Arial" w:hAnsi="Arial"/>
                <w:sz w:val="18"/>
                <w:szCs w:val="18"/>
                <w:color w:val="auto"/>
              </w:rPr>
              <w:t>“Foreign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1.19</w:t>
            </w:r>
          </w:p>
        </w:tc>
        <w:tc>
          <w:tcPr>
            <w:tcW w:w="9320" w:type="dxa"/>
            <w:vAlign w:val="bottom"/>
          </w:tcPr>
          <w:p>
            <w:pPr>
              <w:ind w:left="200"/>
              <w:spacing w:after="0"/>
              <w:rPr>
                <w:sz w:val="20"/>
                <w:szCs w:val="20"/>
                <w:color w:val="auto"/>
              </w:rPr>
            </w:pPr>
            <w:r>
              <w:rPr>
                <w:rFonts w:ascii="Arial" w:cs="Arial" w:eastAsia="Arial" w:hAnsi="Arial"/>
                <w:sz w:val="18"/>
                <w:szCs w:val="18"/>
                <w:color w:val="auto"/>
              </w:rPr>
              <w:t>“Foreign Registrar”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1.20</w:t>
            </w:r>
          </w:p>
        </w:tc>
        <w:tc>
          <w:tcPr>
            <w:tcW w:w="9320" w:type="dxa"/>
            <w:vAlign w:val="bottom"/>
          </w:tcPr>
          <w:p>
            <w:pPr>
              <w:ind w:left="200"/>
              <w:spacing w:after="0"/>
              <w:rPr>
                <w:sz w:val="20"/>
                <w:szCs w:val="20"/>
                <w:color w:val="auto"/>
              </w:rPr>
            </w:pPr>
            <w:r>
              <w:rPr>
                <w:rFonts w:ascii="Arial" w:cs="Arial" w:eastAsia="Arial" w:hAnsi="Arial"/>
                <w:sz w:val="18"/>
                <w:szCs w:val="18"/>
                <w:color w:val="auto"/>
              </w:rPr>
              <w:t>“Holder”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1.21</w:t>
            </w:r>
          </w:p>
        </w:tc>
        <w:tc>
          <w:tcPr>
            <w:tcW w:w="9320" w:type="dxa"/>
            <w:vAlign w:val="bottom"/>
          </w:tcPr>
          <w:p>
            <w:pPr>
              <w:ind w:left="200"/>
              <w:spacing w:after="0"/>
              <w:rPr>
                <w:sz w:val="20"/>
                <w:szCs w:val="20"/>
                <w:color w:val="auto"/>
              </w:rPr>
            </w:pPr>
            <w:r>
              <w:rPr>
                <w:rFonts w:ascii="Arial" w:cs="Arial" w:eastAsia="Arial" w:hAnsi="Arial"/>
                <w:sz w:val="18"/>
                <w:szCs w:val="18"/>
                <w:color w:val="auto"/>
              </w:rPr>
              <w:t>“Indemnified Person” and “Indemnifying Person”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1.22</w:t>
            </w:r>
          </w:p>
        </w:tc>
        <w:tc>
          <w:tcPr>
            <w:tcW w:w="9320" w:type="dxa"/>
            <w:vAlign w:val="bottom"/>
          </w:tcPr>
          <w:p>
            <w:pPr>
              <w:ind w:left="200"/>
              <w:spacing w:after="0"/>
              <w:rPr>
                <w:sz w:val="20"/>
                <w:szCs w:val="20"/>
                <w:color w:val="auto"/>
              </w:rPr>
            </w:pPr>
            <w:r>
              <w:rPr>
                <w:rFonts w:ascii="Arial" w:cs="Arial" w:eastAsia="Arial" w:hAnsi="Arial"/>
                <w:sz w:val="18"/>
                <w:szCs w:val="18"/>
                <w:color w:val="auto"/>
              </w:rPr>
              <w:t>“Pre-Release”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1.23</w:t>
            </w:r>
          </w:p>
        </w:tc>
        <w:tc>
          <w:tcPr>
            <w:tcW w:w="9320" w:type="dxa"/>
            <w:vAlign w:val="bottom"/>
          </w:tcPr>
          <w:p>
            <w:pPr>
              <w:ind w:left="200"/>
              <w:spacing w:after="0"/>
              <w:rPr>
                <w:sz w:val="20"/>
                <w:szCs w:val="20"/>
                <w:color w:val="auto"/>
              </w:rPr>
            </w:pPr>
            <w:r>
              <w:rPr>
                <w:rFonts w:ascii="Arial" w:cs="Arial" w:eastAsia="Arial" w:hAnsi="Arial"/>
                <w:sz w:val="18"/>
                <w:szCs w:val="18"/>
                <w:color w:val="auto"/>
              </w:rPr>
              <w:t>“Principal Office”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1.24</w:t>
            </w:r>
          </w:p>
        </w:tc>
        <w:tc>
          <w:tcPr>
            <w:tcW w:w="9320" w:type="dxa"/>
            <w:vAlign w:val="bottom"/>
          </w:tcPr>
          <w:p>
            <w:pPr>
              <w:ind w:left="200"/>
              <w:spacing w:after="0"/>
              <w:rPr>
                <w:sz w:val="20"/>
                <w:szCs w:val="20"/>
                <w:color w:val="auto"/>
              </w:rPr>
            </w:pPr>
            <w:r>
              <w:rPr>
                <w:rFonts w:ascii="Arial" w:cs="Arial" w:eastAsia="Arial" w:hAnsi="Arial"/>
                <w:sz w:val="18"/>
                <w:szCs w:val="18"/>
                <w:color w:val="auto"/>
              </w:rPr>
              <w:t>“Receipt(s)”; “American Depositary Receipt(s)” and “ADR(s)”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1.25</w:t>
            </w:r>
          </w:p>
        </w:tc>
        <w:tc>
          <w:tcPr>
            <w:tcW w:w="9320" w:type="dxa"/>
            <w:vAlign w:val="bottom"/>
          </w:tcPr>
          <w:p>
            <w:pPr>
              <w:ind w:left="200"/>
              <w:spacing w:after="0"/>
              <w:rPr>
                <w:sz w:val="20"/>
                <w:szCs w:val="20"/>
                <w:color w:val="auto"/>
              </w:rPr>
            </w:pPr>
            <w:r>
              <w:rPr>
                <w:rFonts w:ascii="Arial" w:cs="Arial" w:eastAsia="Arial" w:hAnsi="Arial"/>
                <w:sz w:val="18"/>
                <w:szCs w:val="18"/>
                <w:color w:val="auto"/>
              </w:rPr>
              <w:t>“Registrar”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1.26</w:t>
            </w:r>
          </w:p>
        </w:tc>
        <w:tc>
          <w:tcPr>
            <w:tcW w:w="9320" w:type="dxa"/>
            <w:vAlign w:val="bottom"/>
          </w:tcPr>
          <w:p>
            <w:pPr>
              <w:ind w:left="200"/>
              <w:spacing w:after="0"/>
              <w:rPr>
                <w:sz w:val="20"/>
                <w:szCs w:val="20"/>
                <w:color w:val="auto"/>
              </w:rPr>
            </w:pPr>
            <w:r>
              <w:rPr>
                <w:rFonts w:ascii="Arial" w:cs="Arial" w:eastAsia="Arial" w:hAnsi="Arial"/>
                <w:sz w:val="18"/>
                <w:szCs w:val="18"/>
                <w:color w:val="auto"/>
              </w:rPr>
              <w:t>“Restricted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1.27</w:t>
            </w:r>
          </w:p>
        </w:tc>
        <w:tc>
          <w:tcPr>
            <w:tcW w:w="9320" w:type="dxa"/>
            <w:vAlign w:val="bottom"/>
          </w:tcPr>
          <w:p>
            <w:pPr>
              <w:ind w:left="200"/>
              <w:spacing w:after="0"/>
              <w:rPr>
                <w:sz w:val="20"/>
                <w:szCs w:val="20"/>
                <w:color w:val="auto"/>
              </w:rPr>
            </w:pPr>
            <w:r>
              <w:rPr>
                <w:rFonts w:ascii="Arial" w:cs="Arial" w:eastAsia="Arial" w:hAnsi="Arial"/>
                <w:sz w:val="18"/>
                <w:szCs w:val="18"/>
                <w:color w:val="auto"/>
              </w:rPr>
              <w:t>“Securities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1.28</w:t>
            </w:r>
          </w:p>
        </w:tc>
        <w:tc>
          <w:tcPr>
            <w:tcW w:w="9320" w:type="dxa"/>
            <w:vAlign w:val="bottom"/>
          </w:tcPr>
          <w:p>
            <w:pPr>
              <w:ind w:left="200"/>
              <w:spacing w:after="0"/>
              <w:rPr>
                <w:sz w:val="20"/>
                <w:szCs w:val="20"/>
                <w:color w:val="auto"/>
              </w:rPr>
            </w:pPr>
            <w:r>
              <w:rPr>
                <w:rFonts w:ascii="Arial" w:cs="Arial" w:eastAsia="Arial" w:hAnsi="Arial"/>
                <w:sz w:val="18"/>
                <w:szCs w:val="18"/>
                <w:color w:val="auto"/>
              </w:rPr>
              <w:t>“Shares”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1820" w:type="dxa"/>
            <w:vAlign w:val="bottom"/>
          </w:tcPr>
          <w:p>
            <w:pPr>
              <w:ind w:left="540"/>
              <w:spacing w:after="0"/>
              <w:rPr>
                <w:sz w:val="20"/>
                <w:szCs w:val="20"/>
                <w:color w:val="auto"/>
              </w:rPr>
            </w:pPr>
            <w:r>
              <w:rPr>
                <w:rFonts w:ascii="Arial" w:cs="Arial" w:eastAsia="Arial" w:hAnsi="Arial"/>
                <w:sz w:val="18"/>
                <w:szCs w:val="18"/>
                <w:color w:val="auto"/>
              </w:rPr>
              <w:t>SECTION 1.29</w:t>
            </w:r>
          </w:p>
        </w:tc>
        <w:tc>
          <w:tcPr>
            <w:tcW w:w="9320" w:type="dxa"/>
            <w:vAlign w:val="bottom"/>
          </w:tcPr>
          <w:p>
            <w:pPr>
              <w:ind w:left="200"/>
              <w:spacing w:after="0"/>
              <w:rPr>
                <w:sz w:val="20"/>
                <w:szCs w:val="20"/>
                <w:color w:val="auto"/>
              </w:rPr>
            </w:pPr>
            <w:r>
              <w:rPr>
                <w:rFonts w:ascii="Arial" w:cs="Arial" w:eastAsia="Arial" w:hAnsi="Arial"/>
                <w:sz w:val="18"/>
                <w:szCs w:val="18"/>
                <w:color w:val="auto"/>
              </w:rPr>
              <w:t>“United States“ or “U.S.”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APPOINTMENT OF DEPOSITARY; FORM OF RECEIPTS; DEPOSIT OF SHARES; EXECUTION AND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140" w:type="dxa"/>
            <w:vAlign w:val="bottom"/>
            <w:gridSpan w:val="2"/>
          </w:tcPr>
          <w:p>
            <w:pPr>
              <w:ind w:left="1140"/>
              <w:spacing w:after="0"/>
              <w:rPr>
                <w:sz w:val="20"/>
                <w:szCs w:val="20"/>
                <w:color w:val="auto"/>
              </w:rPr>
            </w:pPr>
            <w:r>
              <w:rPr>
                <w:rFonts w:ascii="Arial" w:cs="Arial" w:eastAsia="Arial" w:hAnsi="Arial"/>
                <w:sz w:val="18"/>
                <w:szCs w:val="18"/>
                <w:color w:val="auto"/>
              </w:rPr>
              <w:t>DELIVERY, TRANSFER AND SURRENDER OF RECEIPTS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82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9320" w:type="dxa"/>
            <w:vAlign w:val="bottom"/>
          </w:tcPr>
          <w:p>
            <w:pPr>
              <w:ind w:left="200"/>
              <w:spacing w:after="0"/>
              <w:rPr>
                <w:sz w:val="20"/>
                <w:szCs w:val="20"/>
                <w:color w:val="auto"/>
              </w:rPr>
            </w:pPr>
            <w:r>
              <w:rPr>
                <w:rFonts w:ascii="Arial" w:cs="Arial" w:eastAsia="Arial" w:hAnsi="Arial"/>
                <w:sz w:val="18"/>
                <w:szCs w:val="18"/>
                <w:color w:val="auto"/>
              </w:rPr>
              <w:t>Appointment of Depositary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9320" w:type="dxa"/>
            <w:vAlign w:val="bottom"/>
          </w:tcPr>
          <w:p>
            <w:pPr>
              <w:ind w:left="200"/>
              <w:spacing w:after="0"/>
              <w:rPr>
                <w:sz w:val="20"/>
                <w:szCs w:val="20"/>
                <w:color w:val="auto"/>
              </w:rPr>
            </w:pPr>
            <w:r>
              <w:rPr>
                <w:rFonts w:ascii="Arial" w:cs="Arial" w:eastAsia="Arial" w:hAnsi="Arial"/>
                <w:sz w:val="18"/>
                <w:szCs w:val="18"/>
                <w:color w:val="auto"/>
              </w:rPr>
              <w:t>Form and Transferability of Receipts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82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93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182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9320" w:type="dxa"/>
            <w:vAlign w:val="bottom"/>
          </w:tcPr>
          <w:p>
            <w:pPr>
              <w:ind w:left="200"/>
              <w:spacing w:after="0"/>
              <w:rPr>
                <w:sz w:val="20"/>
                <w:szCs w:val="20"/>
                <w:color w:val="auto"/>
              </w:rPr>
            </w:pPr>
            <w:r>
              <w:rPr>
                <w:rFonts w:ascii="Arial" w:cs="Arial" w:eastAsia="Arial" w:hAnsi="Arial"/>
                <w:sz w:val="18"/>
                <w:szCs w:val="18"/>
                <w:color w:val="auto"/>
              </w:rPr>
              <w:t>Execution and Delivery of Receipts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161"/>
        </w:trPr>
        <w:tc>
          <w:tcPr>
            <w:tcW w:w="1880" w:type="dxa"/>
            <w:vAlign w:val="bottom"/>
            <w:vMerge w:val="restart"/>
          </w:tcPr>
          <w:p>
            <w:pPr>
              <w:ind w:left="540"/>
              <w:spacing w:after="0"/>
              <w:rPr>
                <w:sz w:val="20"/>
                <w:szCs w:val="20"/>
                <w:color w:val="auto"/>
              </w:rPr>
            </w:pPr>
            <w:r>
              <w:rPr>
                <w:rFonts w:ascii="Arial" w:cs="Arial" w:eastAsia="Arial" w:hAnsi="Arial"/>
                <w:sz w:val="18"/>
                <w:szCs w:val="18"/>
                <w:color w:val="auto"/>
              </w:rPr>
              <w:t>SECTION 2.5</w:t>
            </w:r>
          </w:p>
        </w:tc>
        <w:tc>
          <w:tcPr>
            <w:tcW w:w="9260" w:type="dxa"/>
            <w:vAlign w:val="bottom"/>
            <w:vMerge w:val="restart"/>
          </w:tcPr>
          <w:p>
            <w:pPr>
              <w:ind w:left="260"/>
              <w:spacing w:after="0"/>
              <w:rPr>
                <w:sz w:val="20"/>
                <w:szCs w:val="20"/>
                <w:color w:val="auto"/>
              </w:rPr>
            </w:pPr>
            <w:r>
              <w:rPr>
                <w:rFonts w:ascii="Arial" w:cs="Arial" w:eastAsia="Arial" w:hAnsi="Arial"/>
                <w:sz w:val="18"/>
                <w:szCs w:val="18"/>
                <w:color w:val="auto"/>
              </w:rPr>
              <w:t>Transfer of Receipts; Combination and Split-up of Receipts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880" w:type="dxa"/>
            <w:vAlign w:val="bottom"/>
            <w:vMerge w:val="continue"/>
          </w:tcPr>
          <w:p>
            <w:pPr>
              <w:spacing w:after="0"/>
              <w:rPr>
                <w:sz w:val="17"/>
                <w:szCs w:val="17"/>
                <w:color w:val="auto"/>
              </w:rPr>
            </w:pPr>
          </w:p>
        </w:tc>
        <w:tc>
          <w:tcPr>
            <w:tcW w:w="926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9260" w:type="dxa"/>
            <w:vAlign w:val="bottom"/>
          </w:tcPr>
          <w:p>
            <w:pPr>
              <w:ind w:left="260"/>
              <w:spacing w:after="0"/>
              <w:rPr>
                <w:sz w:val="20"/>
                <w:szCs w:val="20"/>
                <w:color w:val="auto"/>
              </w:rPr>
            </w:pPr>
            <w:r>
              <w:rPr>
                <w:rFonts w:ascii="Arial" w:cs="Arial" w:eastAsia="Arial" w:hAnsi="Arial"/>
                <w:sz w:val="18"/>
                <w:szCs w:val="18"/>
                <w:color w:val="auto"/>
              </w:rPr>
              <w:t>Surrender of Receipts and Withdrawal of 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2.7</w:t>
            </w:r>
          </w:p>
        </w:tc>
        <w:tc>
          <w:tcPr>
            <w:tcW w:w="9260" w:type="dxa"/>
            <w:vAlign w:val="bottom"/>
          </w:tcPr>
          <w:p>
            <w:pPr>
              <w:ind w:left="260"/>
              <w:spacing w:after="0"/>
              <w:rPr>
                <w:sz w:val="20"/>
                <w:szCs w:val="20"/>
                <w:color w:val="auto"/>
              </w:rPr>
            </w:pPr>
            <w:r>
              <w:rPr>
                <w:rFonts w:ascii="Arial" w:cs="Arial" w:eastAsia="Arial" w:hAnsi="Arial"/>
                <w:sz w:val="18"/>
                <w:szCs w:val="18"/>
                <w:color w:val="auto"/>
              </w:rPr>
              <w:t>Limitations on Execution and Delivery, Transfer, etc. of Receipts; Suspension of Delivery, Transfer,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2.8</w:t>
            </w:r>
          </w:p>
        </w:tc>
        <w:tc>
          <w:tcPr>
            <w:tcW w:w="9260" w:type="dxa"/>
            <w:vAlign w:val="bottom"/>
          </w:tcPr>
          <w:p>
            <w:pPr>
              <w:ind w:left="260"/>
              <w:spacing w:after="0"/>
              <w:rPr>
                <w:sz w:val="20"/>
                <w:szCs w:val="20"/>
                <w:color w:val="auto"/>
              </w:rPr>
            </w:pPr>
            <w:r>
              <w:rPr>
                <w:rFonts w:ascii="Arial" w:cs="Arial" w:eastAsia="Arial" w:hAnsi="Arial"/>
                <w:sz w:val="18"/>
                <w:szCs w:val="18"/>
                <w:color w:val="auto"/>
              </w:rPr>
              <w:t>Lost Receipts,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2.9</w:t>
            </w:r>
          </w:p>
        </w:tc>
        <w:tc>
          <w:tcPr>
            <w:tcW w:w="9260" w:type="dxa"/>
            <w:vAlign w:val="bottom"/>
          </w:tcPr>
          <w:p>
            <w:pPr>
              <w:ind w:left="260"/>
              <w:spacing w:after="0"/>
              <w:rPr>
                <w:sz w:val="20"/>
                <w:szCs w:val="20"/>
                <w:color w:val="auto"/>
              </w:rPr>
            </w:pPr>
            <w:r>
              <w:rPr>
                <w:rFonts w:ascii="Arial" w:cs="Arial" w:eastAsia="Arial" w:hAnsi="Arial"/>
                <w:sz w:val="18"/>
                <w:szCs w:val="18"/>
                <w:color w:val="auto"/>
              </w:rPr>
              <w:t>Cancellation and Destruction of Surrendered Receipts; Maintenance of Records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1880" w:type="dxa"/>
            <w:vAlign w:val="bottom"/>
          </w:tcPr>
          <w:p>
            <w:pPr>
              <w:ind w:left="540"/>
              <w:spacing w:after="0"/>
              <w:rPr>
                <w:sz w:val="20"/>
                <w:szCs w:val="20"/>
                <w:color w:val="auto"/>
              </w:rPr>
            </w:pPr>
            <w:r>
              <w:rPr>
                <w:rFonts w:ascii="Arial" w:cs="Arial" w:eastAsia="Arial" w:hAnsi="Arial"/>
                <w:sz w:val="18"/>
                <w:szCs w:val="18"/>
                <w:color w:val="auto"/>
              </w:rPr>
              <w:t>SECTION 2.10</w:t>
            </w:r>
          </w:p>
        </w:tc>
        <w:tc>
          <w:tcPr>
            <w:tcW w:w="9260" w:type="dxa"/>
            <w:vAlign w:val="bottom"/>
          </w:tcPr>
          <w:p>
            <w:pPr>
              <w:ind w:left="260"/>
              <w:spacing w:after="0"/>
              <w:rPr>
                <w:sz w:val="20"/>
                <w:szCs w:val="20"/>
                <w:color w:val="auto"/>
              </w:rPr>
            </w:pPr>
            <w:r>
              <w:rPr>
                <w:rFonts w:ascii="Arial" w:cs="Arial" w:eastAsia="Arial" w:hAnsi="Arial"/>
                <w:sz w:val="18"/>
                <w:szCs w:val="18"/>
                <w:color w:val="auto"/>
              </w:rPr>
              <w:t>Pre-Release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CERTAIN OBLIGATIONS OF HOLDERS AND BENEFICIAL OWNERS OF RECEIPTS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188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9260" w:type="dxa"/>
            <w:vAlign w:val="bottom"/>
          </w:tcPr>
          <w:p>
            <w:pPr>
              <w:ind w:left="260"/>
              <w:spacing w:after="0"/>
              <w:rPr>
                <w:sz w:val="20"/>
                <w:szCs w:val="20"/>
                <w:color w:val="auto"/>
              </w:rPr>
            </w:pPr>
            <w:r>
              <w:rPr>
                <w:rFonts w:ascii="Arial" w:cs="Arial" w:eastAsia="Arial" w:hAnsi="Arial"/>
                <w:sz w:val="18"/>
                <w:szCs w:val="18"/>
                <w:color w:val="auto"/>
              </w:rPr>
              <w:t>Proofs, Certificates and Other 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9260" w:type="dxa"/>
            <w:vAlign w:val="bottom"/>
          </w:tcPr>
          <w:p>
            <w:pPr>
              <w:ind w:left="260"/>
              <w:spacing w:after="0"/>
              <w:rPr>
                <w:sz w:val="20"/>
                <w:szCs w:val="20"/>
                <w:color w:val="auto"/>
              </w:rPr>
            </w:pPr>
            <w:r>
              <w:rPr>
                <w:rFonts w:ascii="Arial" w:cs="Arial" w:eastAsia="Arial" w:hAnsi="Arial"/>
                <w:sz w:val="18"/>
                <w:szCs w:val="18"/>
                <w:color w:val="auto"/>
              </w:rPr>
              <w:t>Liability for Taxes and Other Charges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9260" w:type="dxa"/>
            <w:vAlign w:val="bottom"/>
          </w:tcPr>
          <w:p>
            <w:pPr>
              <w:ind w:left="260"/>
              <w:spacing w:after="0"/>
              <w:rPr>
                <w:sz w:val="20"/>
                <w:szCs w:val="20"/>
                <w:color w:val="auto"/>
              </w:rPr>
            </w:pPr>
            <w:r>
              <w:rPr>
                <w:rFonts w:ascii="Arial" w:cs="Arial" w:eastAsia="Arial" w:hAnsi="Arial"/>
                <w:sz w:val="18"/>
                <w:szCs w:val="18"/>
                <w:color w:val="auto"/>
              </w:rPr>
              <w:t>Representations and Warranties on Deposit of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88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9260" w:type="dxa"/>
            <w:vAlign w:val="bottom"/>
          </w:tcPr>
          <w:p>
            <w:pPr>
              <w:ind w:left="260"/>
              <w:spacing w:after="0"/>
              <w:rPr>
                <w:sz w:val="20"/>
                <w:szCs w:val="20"/>
                <w:color w:val="auto"/>
              </w:rPr>
            </w:pPr>
            <w:r>
              <w:rPr>
                <w:rFonts w:ascii="Arial" w:cs="Arial" w:eastAsia="Arial" w:hAnsi="Arial"/>
                <w:sz w:val="18"/>
                <w:szCs w:val="18"/>
                <w:color w:val="auto"/>
              </w:rPr>
              <w:t>Compliance with Information Requests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THE 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8"/>
        </w:trPr>
        <w:tc>
          <w:tcPr>
            <w:tcW w:w="188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9260" w:type="dxa"/>
            <w:vAlign w:val="bottom"/>
          </w:tcPr>
          <w:p>
            <w:pPr>
              <w:ind w:left="260"/>
              <w:spacing w:after="0"/>
              <w:rPr>
                <w:sz w:val="20"/>
                <w:szCs w:val="20"/>
                <w:color w:val="auto"/>
              </w:rPr>
            </w:pPr>
            <w:r>
              <w:rPr>
                <w:rFonts w:ascii="Arial" w:cs="Arial" w:eastAsia="Arial" w:hAnsi="Arial"/>
                <w:sz w:val="18"/>
                <w:szCs w:val="18"/>
                <w:color w:val="auto"/>
              </w:rPr>
              <w:t>Cash Distributions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9260" w:type="dxa"/>
            <w:vAlign w:val="bottom"/>
          </w:tcPr>
          <w:p>
            <w:pPr>
              <w:ind w:left="260"/>
              <w:spacing w:after="0"/>
              <w:rPr>
                <w:sz w:val="20"/>
                <w:szCs w:val="20"/>
                <w:color w:val="auto"/>
              </w:rPr>
            </w:pPr>
            <w:r>
              <w:rPr>
                <w:rFonts w:ascii="Arial" w:cs="Arial" w:eastAsia="Arial" w:hAnsi="Arial"/>
                <w:sz w:val="18"/>
                <w:szCs w:val="18"/>
                <w:color w:val="auto"/>
              </w:rPr>
              <w:t>Distribution in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9260" w:type="dxa"/>
            <w:vAlign w:val="bottom"/>
          </w:tcPr>
          <w:p>
            <w:pPr>
              <w:ind w:left="260"/>
              <w:spacing w:after="0"/>
              <w:rPr>
                <w:sz w:val="20"/>
                <w:szCs w:val="20"/>
                <w:color w:val="auto"/>
              </w:rPr>
            </w:pPr>
            <w:r>
              <w:rPr>
                <w:rFonts w:ascii="Arial" w:cs="Arial" w:eastAsia="Arial" w:hAnsi="Arial"/>
                <w:sz w:val="18"/>
                <w:szCs w:val="18"/>
                <w:color w:val="auto"/>
              </w:rPr>
              <w:t>Elective Distributions in Cash or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9260" w:type="dxa"/>
            <w:vAlign w:val="bottom"/>
          </w:tcPr>
          <w:p>
            <w:pPr>
              <w:ind w:left="260"/>
              <w:spacing w:after="0"/>
              <w:rPr>
                <w:sz w:val="20"/>
                <w:szCs w:val="20"/>
                <w:color w:val="auto"/>
              </w:rPr>
            </w:pPr>
            <w:r>
              <w:rPr>
                <w:rFonts w:ascii="Arial" w:cs="Arial" w:eastAsia="Arial" w:hAnsi="Arial"/>
                <w:sz w:val="18"/>
                <w:szCs w:val="18"/>
                <w:color w:val="auto"/>
              </w:rPr>
              <w:t>Distribution of Rights to Purchase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9260" w:type="dxa"/>
            <w:vAlign w:val="bottom"/>
          </w:tcPr>
          <w:p>
            <w:pPr>
              <w:ind w:left="26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9260" w:type="dxa"/>
            <w:vAlign w:val="bottom"/>
          </w:tcPr>
          <w:p>
            <w:pPr>
              <w:ind w:left="260"/>
              <w:spacing w:after="0"/>
              <w:rPr>
                <w:sz w:val="20"/>
                <w:szCs w:val="20"/>
                <w:color w:val="auto"/>
              </w:rPr>
            </w:pPr>
            <w:r>
              <w:rPr>
                <w:rFonts w:ascii="Arial" w:cs="Arial" w:eastAsia="Arial" w:hAnsi="Arial"/>
                <w:sz w:val="18"/>
                <w:szCs w:val="18"/>
                <w:color w:val="auto"/>
              </w:rPr>
              <w:t>Conversion of Foreign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9260" w:type="dxa"/>
            <w:vAlign w:val="bottom"/>
          </w:tcPr>
          <w:p>
            <w:pPr>
              <w:ind w:left="260"/>
              <w:spacing w:after="0"/>
              <w:rPr>
                <w:sz w:val="20"/>
                <w:szCs w:val="20"/>
                <w:color w:val="auto"/>
              </w:rPr>
            </w:pPr>
            <w:r>
              <w:rPr>
                <w:rFonts w:ascii="Arial" w:cs="Arial" w:eastAsia="Arial" w:hAnsi="Arial"/>
                <w:sz w:val="18"/>
                <w:szCs w:val="18"/>
                <w:color w:val="auto"/>
              </w:rPr>
              <w:t>Fixing of Record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4.8</w:t>
            </w:r>
          </w:p>
        </w:tc>
        <w:tc>
          <w:tcPr>
            <w:tcW w:w="9260" w:type="dxa"/>
            <w:vAlign w:val="bottom"/>
          </w:tcPr>
          <w:p>
            <w:pPr>
              <w:ind w:left="260"/>
              <w:spacing w:after="0"/>
              <w:rPr>
                <w:sz w:val="20"/>
                <w:szCs w:val="20"/>
                <w:color w:val="auto"/>
              </w:rPr>
            </w:pPr>
            <w:r>
              <w:rPr>
                <w:rFonts w:ascii="Arial" w:cs="Arial" w:eastAsia="Arial" w:hAnsi="Arial"/>
                <w:sz w:val="18"/>
                <w:szCs w:val="18"/>
                <w:color w:val="auto"/>
              </w:rPr>
              <w:t>Voting of 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4.9</w:t>
            </w:r>
          </w:p>
        </w:tc>
        <w:tc>
          <w:tcPr>
            <w:tcW w:w="9260" w:type="dxa"/>
            <w:vAlign w:val="bottom"/>
          </w:tcPr>
          <w:p>
            <w:pPr>
              <w:ind w:left="260"/>
              <w:spacing w:after="0"/>
              <w:rPr>
                <w:sz w:val="20"/>
                <w:szCs w:val="20"/>
                <w:color w:val="auto"/>
              </w:rPr>
            </w:pPr>
            <w:r>
              <w:rPr>
                <w:rFonts w:ascii="Arial" w:cs="Arial" w:eastAsia="Arial" w:hAnsi="Arial"/>
                <w:sz w:val="18"/>
                <w:szCs w:val="18"/>
                <w:color w:val="auto"/>
              </w:rPr>
              <w:t>Changes Affecting 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4.10</w:t>
            </w:r>
          </w:p>
        </w:tc>
        <w:tc>
          <w:tcPr>
            <w:tcW w:w="9260" w:type="dxa"/>
            <w:vAlign w:val="bottom"/>
          </w:tcPr>
          <w:p>
            <w:pPr>
              <w:ind w:left="260"/>
              <w:spacing w:after="0"/>
              <w:rPr>
                <w:sz w:val="20"/>
                <w:szCs w:val="20"/>
                <w:color w:val="auto"/>
              </w:rPr>
            </w:pPr>
            <w:r>
              <w:rPr>
                <w:rFonts w:ascii="Arial" w:cs="Arial" w:eastAsia="Arial" w:hAnsi="Arial"/>
                <w:sz w:val="18"/>
                <w:szCs w:val="18"/>
                <w:color w:val="auto"/>
              </w:rPr>
              <w:t>Available 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4.11</w:t>
            </w:r>
          </w:p>
        </w:tc>
        <w:tc>
          <w:tcPr>
            <w:tcW w:w="9260" w:type="dxa"/>
            <w:vAlign w:val="bottom"/>
          </w:tcPr>
          <w:p>
            <w:pPr>
              <w:ind w:left="260"/>
              <w:spacing w:after="0"/>
              <w:rPr>
                <w:sz w:val="20"/>
                <w:szCs w:val="20"/>
                <w:color w:val="auto"/>
              </w:rPr>
            </w:pPr>
            <w:r>
              <w:rPr>
                <w:rFonts w:ascii="Arial" w:cs="Arial" w:eastAsia="Arial" w:hAnsi="Arial"/>
                <w:sz w:val="18"/>
                <w:szCs w:val="18"/>
                <w:color w:val="auto"/>
              </w:rPr>
              <w:t>Reports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4.12</w:t>
            </w:r>
          </w:p>
        </w:tc>
        <w:tc>
          <w:tcPr>
            <w:tcW w:w="9260" w:type="dxa"/>
            <w:vAlign w:val="bottom"/>
          </w:tcPr>
          <w:p>
            <w:pPr>
              <w:ind w:left="260"/>
              <w:spacing w:after="0"/>
              <w:rPr>
                <w:sz w:val="20"/>
                <w:szCs w:val="20"/>
                <w:color w:val="auto"/>
              </w:rPr>
            </w:pPr>
            <w:r>
              <w:rPr>
                <w:rFonts w:ascii="Arial" w:cs="Arial" w:eastAsia="Arial" w:hAnsi="Arial"/>
                <w:sz w:val="18"/>
                <w:szCs w:val="18"/>
                <w:color w:val="auto"/>
              </w:rPr>
              <w:t>List of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1880" w:type="dxa"/>
            <w:vAlign w:val="bottom"/>
          </w:tcPr>
          <w:p>
            <w:pPr>
              <w:ind w:left="540"/>
              <w:spacing w:after="0"/>
              <w:rPr>
                <w:sz w:val="20"/>
                <w:szCs w:val="20"/>
                <w:color w:val="auto"/>
              </w:rPr>
            </w:pPr>
            <w:r>
              <w:rPr>
                <w:rFonts w:ascii="Arial" w:cs="Arial" w:eastAsia="Arial" w:hAnsi="Arial"/>
                <w:sz w:val="18"/>
                <w:szCs w:val="18"/>
                <w:color w:val="auto"/>
              </w:rPr>
              <w:t>SECTION 4.13</w:t>
            </w:r>
          </w:p>
        </w:tc>
        <w:tc>
          <w:tcPr>
            <w:tcW w:w="9260" w:type="dxa"/>
            <w:vAlign w:val="bottom"/>
          </w:tcPr>
          <w:p>
            <w:pPr>
              <w:ind w:left="260"/>
              <w:spacing w:after="0"/>
              <w:rPr>
                <w:sz w:val="20"/>
                <w:szCs w:val="20"/>
                <w:color w:val="auto"/>
              </w:rPr>
            </w:pPr>
            <w:r>
              <w:rPr>
                <w:rFonts w:ascii="Arial" w:cs="Arial" w:eastAsia="Arial" w:hAnsi="Arial"/>
                <w:sz w:val="18"/>
                <w:szCs w:val="18"/>
                <w:color w:val="auto"/>
              </w:rPr>
              <w:t>Taxation/Withholding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THE DEPOSITARY, THE CUSTODIAN AND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88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9260" w:type="dxa"/>
            <w:vAlign w:val="bottom"/>
          </w:tcPr>
          <w:p>
            <w:pPr>
              <w:ind w:left="260"/>
              <w:spacing w:after="0"/>
              <w:rPr>
                <w:sz w:val="20"/>
                <w:szCs w:val="20"/>
                <w:color w:val="auto"/>
              </w:rPr>
            </w:pPr>
            <w:r>
              <w:rPr>
                <w:rFonts w:ascii="Arial" w:cs="Arial" w:eastAsia="Arial" w:hAnsi="Arial"/>
                <w:sz w:val="18"/>
                <w:szCs w:val="18"/>
                <w:color w:val="auto"/>
              </w:rPr>
              <w:t>Maintenance of Office and Transfer Books by the Registrar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9260" w:type="dxa"/>
            <w:vAlign w:val="bottom"/>
          </w:tcPr>
          <w:p>
            <w:pPr>
              <w:ind w:left="260"/>
              <w:spacing w:after="0"/>
              <w:rPr>
                <w:sz w:val="20"/>
                <w:szCs w:val="20"/>
                <w:color w:val="auto"/>
              </w:rPr>
            </w:pPr>
            <w:r>
              <w:rPr>
                <w:rFonts w:ascii="Arial" w:cs="Arial" w:eastAsia="Arial" w:hAnsi="Arial"/>
                <w:sz w:val="18"/>
                <w:szCs w:val="18"/>
                <w:color w:val="auto"/>
              </w:rPr>
              <w:t>Exoneration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5.3</w:t>
            </w:r>
          </w:p>
        </w:tc>
        <w:tc>
          <w:tcPr>
            <w:tcW w:w="9260" w:type="dxa"/>
            <w:vAlign w:val="bottom"/>
          </w:tcPr>
          <w:p>
            <w:pPr>
              <w:ind w:left="260"/>
              <w:spacing w:after="0"/>
              <w:rPr>
                <w:sz w:val="20"/>
                <w:szCs w:val="20"/>
                <w:color w:val="auto"/>
              </w:rPr>
            </w:pPr>
            <w:r>
              <w:rPr>
                <w:rFonts w:ascii="Arial" w:cs="Arial" w:eastAsia="Arial" w:hAnsi="Arial"/>
                <w:sz w:val="18"/>
                <w:szCs w:val="18"/>
                <w:color w:val="auto"/>
              </w:rPr>
              <w:t>Standard of Care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5.4</w:t>
            </w:r>
          </w:p>
        </w:tc>
        <w:tc>
          <w:tcPr>
            <w:tcW w:w="9260" w:type="dxa"/>
            <w:vAlign w:val="bottom"/>
          </w:tcPr>
          <w:p>
            <w:pPr>
              <w:ind w:left="26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5.5</w:t>
            </w:r>
          </w:p>
        </w:tc>
        <w:tc>
          <w:tcPr>
            <w:tcW w:w="9260" w:type="dxa"/>
            <w:vAlign w:val="bottom"/>
          </w:tcPr>
          <w:p>
            <w:pPr>
              <w:ind w:left="260"/>
              <w:spacing w:after="0"/>
              <w:rPr>
                <w:sz w:val="20"/>
                <w:szCs w:val="20"/>
                <w:color w:val="auto"/>
              </w:rPr>
            </w:pPr>
            <w:r>
              <w:rPr>
                <w:rFonts w:ascii="Arial" w:cs="Arial" w:eastAsia="Arial" w:hAnsi="Arial"/>
                <w:sz w:val="18"/>
                <w:szCs w:val="18"/>
                <w:color w:val="auto"/>
              </w:rPr>
              <w:t>The Custodian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5.6</w:t>
            </w:r>
          </w:p>
        </w:tc>
        <w:tc>
          <w:tcPr>
            <w:tcW w:w="9260" w:type="dxa"/>
            <w:vAlign w:val="bottom"/>
          </w:tcPr>
          <w:p>
            <w:pPr>
              <w:ind w:left="260"/>
              <w:spacing w:after="0"/>
              <w:rPr>
                <w:sz w:val="20"/>
                <w:szCs w:val="20"/>
                <w:color w:val="auto"/>
              </w:rPr>
            </w:pPr>
            <w:r>
              <w:rPr>
                <w:rFonts w:ascii="Arial" w:cs="Arial" w:eastAsia="Arial" w:hAnsi="Arial"/>
                <w:sz w:val="18"/>
                <w:szCs w:val="18"/>
                <w:color w:val="auto"/>
              </w:rPr>
              <w:t>Notices and Reports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5.7</w:t>
            </w:r>
          </w:p>
        </w:tc>
        <w:tc>
          <w:tcPr>
            <w:tcW w:w="9260" w:type="dxa"/>
            <w:vAlign w:val="bottom"/>
          </w:tcPr>
          <w:p>
            <w:pPr>
              <w:ind w:left="260"/>
              <w:spacing w:after="0"/>
              <w:rPr>
                <w:sz w:val="20"/>
                <w:szCs w:val="20"/>
                <w:color w:val="auto"/>
              </w:rPr>
            </w:pPr>
            <w:r>
              <w:rPr>
                <w:rFonts w:ascii="Arial" w:cs="Arial" w:eastAsia="Arial" w:hAnsi="Arial"/>
                <w:sz w:val="18"/>
                <w:szCs w:val="18"/>
                <w:color w:val="auto"/>
              </w:rPr>
              <w:t>Issuance of Additional Shares, ADSs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5.8</w:t>
            </w:r>
          </w:p>
        </w:tc>
        <w:tc>
          <w:tcPr>
            <w:tcW w:w="9260" w:type="dxa"/>
            <w:vAlign w:val="bottom"/>
          </w:tcPr>
          <w:p>
            <w:pPr>
              <w:ind w:left="260"/>
              <w:spacing w:after="0"/>
              <w:rPr>
                <w:sz w:val="20"/>
                <w:szCs w:val="20"/>
                <w:color w:val="auto"/>
              </w:rPr>
            </w:pPr>
            <w:r>
              <w:rPr>
                <w:rFonts w:ascii="Arial" w:cs="Arial" w:eastAsia="Arial" w:hAnsi="Arial"/>
                <w:sz w:val="18"/>
                <w:szCs w:val="18"/>
                <w:color w:val="auto"/>
              </w:rPr>
              <w:t>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880" w:type="dxa"/>
            <w:vAlign w:val="bottom"/>
          </w:tcPr>
          <w:p>
            <w:pPr>
              <w:ind w:left="540"/>
              <w:spacing w:after="0"/>
              <w:rPr>
                <w:sz w:val="20"/>
                <w:szCs w:val="20"/>
                <w:color w:val="auto"/>
              </w:rPr>
            </w:pPr>
            <w:r>
              <w:rPr>
                <w:rFonts w:ascii="Arial" w:cs="Arial" w:eastAsia="Arial" w:hAnsi="Arial"/>
                <w:sz w:val="18"/>
                <w:szCs w:val="18"/>
                <w:color w:val="auto"/>
              </w:rPr>
              <w:t>SECTION 5.9</w:t>
            </w:r>
          </w:p>
        </w:tc>
        <w:tc>
          <w:tcPr>
            <w:tcW w:w="9260" w:type="dxa"/>
            <w:vAlign w:val="bottom"/>
          </w:tcPr>
          <w:p>
            <w:pPr>
              <w:ind w:left="260"/>
              <w:spacing w:after="0"/>
              <w:rPr>
                <w:sz w:val="20"/>
                <w:szCs w:val="20"/>
                <w:color w:val="auto"/>
              </w:rPr>
            </w:pPr>
            <w:r>
              <w:rPr>
                <w:rFonts w:ascii="Arial" w:cs="Arial" w:eastAsia="Arial" w:hAnsi="Arial"/>
                <w:sz w:val="18"/>
                <w:szCs w:val="18"/>
                <w:color w:val="auto"/>
              </w:rPr>
              <w:t>Fees and Charges of Depositary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1880" w:type="dxa"/>
            <w:vAlign w:val="bottom"/>
          </w:tcPr>
          <w:p>
            <w:pPr>
              <w:ind w:left="540"/>
              <w:spacing w:after="0"/>
              <w:rPr>
                <w:sz w:val="20"/>
                <w:szCs w:val="20"/>
                <w:color w:val="auto"/>
              </w:rPr>
            </w:pPr>
            <w:r>
              <w:rPr>
                <w:rFonts w:ascii="Arial" w:cs="Arial" w:eastAsia="Arial" w:hAnsi="Arial"/>
                <w:sz w:val="18"/>
                <w:szCs w:val="18"/>
                <w:color w:val="auto"/>
              </w:rPr>
              <w:t>SECTION 5.10</w:t>
            </w:r>
          </w:p>
        </w:tc>
        <w:tc>
          <w:tcPr>
            <w:tcW w:w="9260" w:type="dxa"/>
            <w:vAlign w:val="bottom"/>
          </w:tcPr>
          <w:p>
            <w:pPr>
              <w:ind w:left="260"/>
              <w:spacing w:after="0"/>
              <w:rPr>
                <w:sz w:val="20"/>
                <w:szCs w:val="20"/>
                <w:color w:val="auto"/>
              </w:rPr>
            </w:pPr>
            <w:r>
              <w:rPr>
                <w:rFonts w:ascii="Arial" w:cs="Arial" w:eastAsia="Arial" w:hAnsi="Arial"/>
                <w:sz w:val="18"/>
                <w:szCs w:val="18"/>
                <w:color w:val="auto"/>
              </w:rPr>
              <w:t>Restricted Securities Owners/Ownership Restrictions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Arial" w:cs="Arial" w:eastAsia="Arial" w:hAnsi="Arial"/>
                <w:sz w:val="18"/>
                <w:szCs w:val="18"/>
                <w:color w:val="auto"/>
              </w:rPr>
              <w:t>ARTICLE VI</w:t>
            </w:r>
          </w:p>
        </w:tc>
        <w:tc>
          <w:tcPr>
            <w:tcW w:w="10040" w:type="dxa"/>
            <w:vAlign w:val="bottom"/>
            <w:gridSpan w:val="2"/>
            <w:vMerge w:val="restart"/>
          </w:tcPr>
          <w:p>
            <w:pPr>
              <w:ind w:left="80"/>
              <w:spacing w:after="0"/>
              <w:rPr>
                <w:sz w:val="20"/>
                <w:szCs w:val="20"/>
                <w:color w:val="auto"/>
              </w:rPr>
            </w:pPr>
            <w:r>
              <w:rPr>
                <w:rFonts w:ascii="Arial" w:cs="Arial" w:eastAsia="Arial" w:hAnsi="Arial"/>
                <w:sz w:val="18"/>
                <w:szCs w:val="18"/>
                <w:color w:val="auto"/>
              </w:rPr>
              <w:t>AMENDMENT AND TERMINATION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100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6.1</w:t>
            </w:r>
          </w:p>
        </w:tc>
        <w:tc>
          <w:tcPr>
            <w:tcW w:w="9300" w:type="dxa"/>
            <w:vAlign w:val="bottom"/>
          </w:tcPr>
          <w:p>
            <w:pPr>
              <w:ind w:left="200"/>
              <w:spacing w:after="0"/>
              <w:rPr>
                <w:sz w:val="20"/>
                <w:szCs w:val="20"/>
                <w:color w:val="auto"/>
              </w:rPr>
            </w:pPr>
            <w:r>
              <w:rPr>
                <w:rFonts w:ascii="Arial" w:cs="Arial" w:eastAsia="Arial" w:hAnsi="Arial"/>
                <w:sz w:val="18"/>
                <w:szCs w:val="18"/>
                <w:color w:val="auto"/>
              </w:rPr>
              <w:t>Amendment/Supplement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6.2</w:t>
            </w:r>
          </w:p>
        </w:tc>
        <w:tc>
          <w:tcPr>
            <w:tcW w:w="930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VII</w:t>
            </w:r>
          </w:p>
        </w:tc>
        <w:tc>
          <w:tcPr>
            <w:tcW w:w="10040" w:type="dxa"/>
            <w:vAlign w:val="bottom"/>
            <w:gridSpan w:val="2"/>
          </w:tcPr>
          <w:p>
            <w:pPr>
              <w:ind w:left="140"/>
              <w:spacing w:after="0"/>
              <w:rPr>
                <w:sz w:val="20"/>
                <w:szCs w:val="20"/>
                <w:color w:val="auto"/>
              </w:rPr>
            </w:pPr>
            <w:r>
              <w:rPr>
                <w:rFonts w:ascii="Arial" w:cs="Arial" w:eastAsia="Arial" w:hAnsi="Arial"/>
                <w:sz w:val="18"/>
                <w:szCs w:val="18"/>
                <w:color w:val="auto"/>
              </w:rPr>
              <w:t>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8"/>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7.1</w:t>
            </w:r>
          </w:p>
        </w:tc>
        <w:tc>
          <w:tcPr>
            <w:tcW w:w="930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7.2</w:t>
            </w:r>
          </w:p>
        </w:tc>
        <w:tc>
          <w:tcPr>
            <w:tcW w:w="9300" w:type="dxa"/>
            <w:vAlign w:val="bottom"/>
          </w:tcPr>
          <w:p>
            <w:pPr>
              <w:ind w:left="200"/>
              <w:spacing w:after="0"/>
              <w:rPr>
                <w:sz w:val="20"/>
                <w:szCs w:val="20"/>
                <w:color w:val="auto"/>
              </w:rPr>
            </w:pPr>
            <w:r>
              <w:rPr>
                <w:rFonts w:ascii="Arial" w:cs="Arial" w:eastAsia="Arial" w:hAnsi="Arial"/>
                <w:sz w:val="18"/>
                <w:szCs w:val="18"/>
                <w:color w:val="auto"/>
              </w:rPr>
              <w:t>No Third-Party Beneficiaries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7.3</w:t>
            </w:r>
          </w:p>
        </w:tc>
        <w:tc>
          <w:tcPr>
            <w:tcW w:w="930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7.4</w:t>
            </w:r>
          </w:p>
        </w:tc>
        <w:tc>
          <w:tcPr>
            <w:tcW w:w="9300" w:type="dxa"/>
            <w:vAlign w:val="bottom"/>
          </w:tcPr>
          <w:p>
            <w:pPr>
              <w:ind w:left="200"/>
              <w:spacing w:after="0"/>
              <w:rPr>
                <w:sz w:val="20"/>
                <w:szCs w:val="20"/>
                <w:color w:val="auto"/>
              </w:rPr>
            </w:pPr>
            <w:r>
              <w:rPr>
                <w:rFonts w:ascii="Arial" w:cs="Arial" w:eastAsia="Arial" w:hAnsi="Arial"/>
                <w:sz w:val="18"/>
                <w:szCs w:val="18"/>
                <w:color w:val="auto"/>
              </w:rPr>
              <w:t>Holders and Beneficial Owners as Parties; Binding Effect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7.5</w:t>
            </w:r>
          </w:p>
        </w:tc>
        <w:tc>
          <w:tcPr>
            <w:tcW w:w="9300" w:type="dxa"/>
            <w:vAlign w:val="bottom"/>
          </w:tcPr>
          <w:p>
            <w:pPr>
              <w:ind w:left="20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7.6</w:t>
            </w:r>
          </w:p>
        </w:tc>
        <w:tc>
          <w:tcPr>
            <w:tcW w:w="9300" w:type="dxa"/>
            <w:vAlign w:val="bottom"/>
          </w:tcPr>
          <w:p>
            <w:pPr>
              <w:ind w:left="200"/>
              <w:spacing w:after="0"/>
              <w:rPr>
                <w:sz w:val="20"/>
                <w:szCs w:val="20"/>
                <w:color w:val="auto"/>
              </w:rPr>
            </w:pPr>
            <w:r>
              <w:rPr>
                <w:rFonts w:ascii="Arial" w:cs="Arial" w:eastAsia="Arial" w:hAnsi="Arial"/>
                <w:sz w:val="18"/>
                <w:szCs w:val="18"/>
                <w:color w:val="auto"/>
              </w:rPr>
              <w:t>Governing Law and Jurisdiction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7.7</w:t>
            </w:r>
          </w:p>
        </w:tc>
        <w:tc>
          <w:tcPr>
            <w:tcW w:w="930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7.8</w:t>
            </w:r>
          </w:p>
        </w:tc>
        <w:tc>
          <w:tcPr>
            <w:tcW w:w="9300" w:type="dxa"/>
            <w:vAlign w:val="bottom"/>
          </w:tcPr>
          <w:p>
            <w:pPr>
              <w:ind w:left="200"/>
              <w:spacing w:after="0"/>
              <w:rPr>
                <w:sz w:val="20"/>
                <w:szCs w:val="20"/>
                <w:color w:val="auto"/>
              </w:rPr>
            </w:pPr>
            <w:r>
              <w:rPr>
                <w:rFonts w:ascii="Arial" w:cs="Arial" w:eastAsia="Arial" w:hAnsi="Arial"/>
                <w:sz w:val="18"/>
                <w:szCs w:val="18"/>
                <w:color w:val="auto"/>
              </w:rPr>
              <w:t>Agents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7.9</w:t>
            </w:r>
          </w:p>
        </w:tc>
        <w:tc>
          <w:tcPr>
            <w:tcW w:w="9300" w:type="dxa"/>
            <w:vAlign w:val="bottom"/>
          </w:tcPr>
          <w:p>
            <w:pPr>
              <w:ind w:left="200"/>
              <w:spacing w:after="0"/>
              <w:rPr>
                <w:sz w:val="20"/>
                <w:szCs w:val="20"/>
                <w:color w:val="auto"/>
              </w:rPr>
            </w:pPr>
            <w:r>
              <w:rPr>
                <w:rFonts w:ascii="Arial" w:cs="Arial" w:eastAsia="Arial" w:hAnsi="Arial"/>
                <w:sz w:val="18"/>
                <w:szCs w:val="18"/>
                <w:color w:val="auto"/>
              </w:rPr>
              <w:t>Exclusivity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7.10</w:t>
            </w:r>
          </w:p>
        </w:tc>
        <w:tc>
          <w:tcPr>
            <w:tcW w:w="9300" w:type="dxa"/>
            <w:vAlign w:val="bottom"/>
          </w:tcPr>
          <w:p>
            <w:pPr>
              <w:ind w:left="200"/>
              <w:spacing w:after="0"/>
              <w:rPr>
                <w:sz w:val="20"/>
                <w:szCs w:val="20"/>
                <w:color w:val="auto"/>
              </w:rPr>
            </w:pPr>
            <w:r>
              <w:rPr>
                <w:rFonts w:ascii="Arial" w:cs="Arial" w:eastAsia="Arial" w:hAnsi="Arial"/>
                <w:sz w:val="18"/>
                <w:szCs w:val="18"/>
                <w:color w:val="auto"/>
              </w:rPr>
              <w:t>Compliance with U.S. Securities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1840" w:type="dxa"/>
            <w:vAlign w:val="bottom"/>
            <w:gridSpan w:val="2"/>
          </w:tcPr>
          <w:p>
            <w:pPr>
              <w:ind w:left="540"/>
              <w:spacing w:after="0"/>
              <w:rPr>
                <w:sz w:val="20"/>
                <w:szCs w:val="20"/>
                <w:color w:val="auto"/>
              </w:rPr>
            </w:pPr>
            <w:r>
              <w:rPr>
                <w:rFonts w:ascii="Arial" w:cs="Arial" w:eastAsia="Arial" w:hAnsi="Arial"/>
                <w:sz w:val="18"/>
                <w:szCs w:val="18"/>
                <w:color w:val="auto"/>
              </w:rPr>
              <w:t>SECTION 7.11</w:t>
            </w:r>
          </w:p>
        </w:tc>
        <w:tc>
          <w:tcPr>
            <w:tcW w:w="9300" w:type="dxa"/>
            <w:vAlign w:val="bottom"/>
          </w:tcPr>
          <w:p>
            <w:pPr>
              <w:ind w:left="200"/>
              <w:spacing w:after="0"/>
              <w:rPr>
                <w:sz w:val="20"/>
                <w:szCs w:val="20"/>
                <w:color w:val="auto"/>
              </w:rPr>
            </w:pPr>
            <w:r>
              <w:rPr>
                <w:rFonts w:ascii="Arial" w:cs="Arial" w:eastAsia="Arial" w:hAnsi="Arial"/>
                <w:sz w:val="18"/>
                <w:szCs w:val="18"/>
                <w:color w:val="auto"/>
              </w:rPr>
              <w:t>Titles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20"/>
        </w:trPr>
        <w:tc>
          <w:tcPr>
            <w:tcW w:w="111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EXHIBIT A </w:t>
            </w:r>
            <w:r>
              <w:rPr>
                <w:rFonts w:ascii="Arial" w:cs="Arial" w:eastAsia="Arial" w:hAnsi="Arial"/>
                <w:sz w:val="18"/>
                <w:szCs w:val="18"/>
                <w:color w:val="auto"/>
              </w:rPr>
              <w:t>Form of Face of Receipt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A-1</w:t>
            </w:r>
          </w:p>
        </w:tc>
        <w:tc>
          <w:tcPr>
            <w:tcW w:w="0" w:type="dxa"/>
            <w:vAlign w:val="bottom"/>
          </w:tcPr>
          <w:p>
            <w:pPr>
              <w:spacing w:after="0"/>
              <w:rPr>
                <w:sz w:val="1"/>
                <w:szCs w:val="1"/>
                <w:color w:val="auto"/>
              </w:rPr>
            </w:pPr>
          </w:p>
        </w:tc>
      </w:tr>
      <w:tr>
        <w:trPr>
          <w:trHeight w:val="228"/>
        </w:trPr>
        <w:tc>
          <w:tcPr>
            <w:tcW w:w="111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EXHIBIT B </w:t>
            </w:r>
            <w:r>
              <w:rPr>
                <w:rFonts w:ascii="Arial" w:cs="Arial" w:eastAsia="Arial" w:hAnsi="Arial"/>
                <w:sz w:val="18"/>
                <w:szCs w:val="18"/>
                <w:color w:val="auto"/>
              </w:rPr>
              <w:t>Form of Reverse of Receipt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B-1</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5" w:right="2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consent to the use in this Registration Statement on Form F-1 of our report dated July 10, 2006 relating to the consolidated financial statements and financial statement schedule of New Oriental Education &amp; Technology Group Inc., (which report expresses an unqualified opinion and includes an explanatory paragraph referring to the translation of Renminbi amounts into U.S. Dollar amounts), appearing in the Prospectus, which is part of this Registration Statement.</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also consent to the reference to us under the headings “Summary Condensed Consolidated Financial Data”, “Selected Consolidated Condensed Financial Data” and “Experts” in such Prospectus.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Touche Tohmatsu CPA Ltd.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Touche Tohmatsu CPA Ltd.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Beijing, China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31, 2006</w:t>
      </w:r>
    </w:p>
    <w:p>
      <w:pPr>
        <w:sectPr>
          <w:pgSz w:w="11900" w:h="16838" w:orient="portrait"/>
          <w:cols w:equalWidth="0" w:num="1">
            <w:col w:w="11420"/>
          </w:cols>
          <w:pgMar w:left="240" w:top="125" w:right="2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b w:val="1"/>
          <w:bCs w:val="1"/>
          <w:color w:val="auto"/>
        </w:rPr>
        <w:t>Exhibit 99.16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117475</wp:posOffset>
            </wp:positionV>
            <wp:extent cx="2452370" cy="115760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245237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Date: August 31,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No.6 Hai Dian Zhong Street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9th Floor</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Haidian District, Beijing 100080</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People’s Republic of China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Latham &amp; Watkins LLP</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Floor</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Exchange Square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8 Connaught Place, Central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We have acted as special People’s Republic of China (“</w:t>
      </w:r>
      <w:r>
        <w:rPr>
          <w:rFonts w:ascii="Arial" w:cs="Arial" w:eastAsia="Arial" w:hAnsi="Arial"/>
          <w:sz w:val="18"/>
          <w:szCs w:val="18"/>
          <w:b w:val="1"/>
          <w:bCs w:val="1"/>
          <w:color w:val="auto"/>
        </w:rPr>
        <w:t>PRC</w:t>
      </w:r>
      <w:r>
        <w:rPr>
          <w:rFonts w:ascii="Arial" w:cs="Arial" w:eastAsia="Arial" w:hAnsi="Arial"/>
          <w:sz w:val="18"/>
          <w:szCs w:val="18"/>
          <w:color w:val="auto"/>
        </w:rPr>
        <w:t>”) legal counsel to New Oriental Education &amp; Technology Group Inc., a company incorporated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2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With respect to the proposed initial public offering (the “</w:t>
      </w:r>
      <w:r>
        <w:rPr>
          <w:rFonts w:ascii="Arial" w:cs="Arial" w:eastAsia="Arial" w:hAnsi="Arial"/>
          <w:sz w:val="18"/>
          <w:szCs w:val="18"/>
          <w:b w:val="1"/>
          <w:bCs w:val="1"/>
          <w:color w:val="auto"/>
        </w:rPr>
        <w:t>Offering</w:t>
      </w:r>
      <w:r>
        <w:rPr>
          <w:rFonts w:ascii="Arial" w:cs="Arial" w:eastAsia="Arial" w:hAnsi="Arial"/>
          <w:sz w:val="18"/>
          <w:szCs w:val="18"/>
          <w:color w:val="auto"/>
        </w:rPr>
        <w:t>”) of the Company’s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each representing 4 common shares, par value $0.01 per share, of the Company, and the issuance of the prospectus, that forms part of the Company’s registration statement on Form F-1 filed with the U.S. Securities and Exchange Commission, in connection therewith, you have requested us to furnish an opinion to you as to the matters hereinafter set forth.</w:t>
      </w:r>
    </w:p>
    <w:p>
      <w:pPr>
        <w:sectPr>
          <w:pgSz w:w="11900" w:h="16838" w:orient="portrait"/>
          <w:cols w:equalWidth="0" w:num="1">
            <w:col w:w="11420"/>
          </w:cols>
          <w:pgMar w:left="240" w:top="125" w:right="23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 </w:t>
      </w:r>
      <w:r>
        <w:rPr>
          <w:rFonts w:ascii="Arial" w:cs="Arial" w:eastAsia="Arial" w:hAnsi="Arial"/>
          <w:sz w:val="18"/>
          <w:szCs w:val="18"/>
          <w:b w:val="1"/>
          <w:bCs w:val="1"/>
          <w:u w:val="single" w:color="auto"/>
          <w:color w:val="auto"/>
        </w:rPr>
        <w:t>Documents Examined, Definition and Information Provided</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connection with the furnishing of this opinion, we have examined copies, certified or otherwise identified to our satisfaction, of documents provided by the Company. All of these documents are hereinafter collectively referred to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of this opinion otherwise provide, the following terms in this opinion shall have the meanings set forth below:</w:t>
      </w:r>
    </w:p>
    <w:p>
      <w:pPr>
        <w:spacing w:after="0" w:line="90"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“Approvals” - to mean all necessary approvals, consents, waivers, sanctions, certificates, authorizations, filings, registrations, exemptions, permissions, endorsements, annual inspections, qualifications and licenses.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“Contracts” – to mean the contracts listed in Schedule I of this opinion.</w:t>
      </w:r>
    </w:p>
    <w:p>
      <w:pPr>
        <w:spacing w:after="0" w:line="17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“PRC” - to mean the People’s Republic of China (for the purposes of this opinion, excluding Hong Kong Special Administrative Region, Macau Special Administrative Region and Taiwan Province).</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“PRC Laws” - to mean all laws, regulations, statutes, orders, decrees, guidelines, notices, judicial interpretations and sub-ordinate legislations currently in force and publicly available in the PRC on the date of this opinion.</w:t>
      </w:r>
    </w:p>
    <w:p>
      <w:pPr>
        <w:spacing w:after="0" w:line="126"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auto"/>
        </w:rPr>
        <w:t>“WFOEs” - to mean the Company’s three subsidiaries located in the PRC, including Beijing Decision Education and Consulting Co., Ltd. (“</w:t>
      </w:r>
      <w:r>
        <w:rPr>
          <w:rFonts w:ascii="Arial" w:cs="Arial" w:eastAsia="Arial" w:hAnsi="Arial"/>
          <w:sz w:val="16"/>
          <w:szCs w:val="16"/>
          <w:b w:val="1"/>
          <w:bCs w:val="1"/>
          <w:color w:val="auto"/>
        </w:rPr>
        <w:t>Beijing Decision</w:t>
      </w:r>
      <w:r>
        <w:rPr>
          <w:rFonts w:ascii="Arial" w:cs="Arial" w:eastAsia="Arial" w:hAnsi="Arial"/>
          <w:sz w:val="16"/>
          <w:szCs w:val="16"/>
          <w:color w:val="auto"/>
        </w:rPr>
        <w:t>”), Beijing Hewstone Technology Co., Ltd. (“</w:t>
      </w:r>
      <w:r>
        <w:rPr>
          <w:rFonts w:ascii="Arial" w:cs="Arial" w:eastAsia="Arial" w:hAnsi="Arial"/>
          <w:sz w:val="16"/>
          <w:szCs w:val="16"/>
          <w:b w:val="1"/>
          <w:bCs w:val="1"/>
          <w:color w:val="auto"/>
        </w:rPr>
        <w:t>Beijing Hewstone</w:t>
      </w:r>
      <w:r>
        <w:rPr>
          <w:rFonts w:ascii="Arial" w:cs="Arial" w:eastAsia="Arial" w:hAnsi="Arial"/>
          <w:sz w:val="16"/>
          <w:szCs w:val="16"/>
          <w:color w:val="auto"/>
        </w:rPr>
        <w:t>”) and Beijing Judgment Education &amp; Consulting Co., Ltd., (“</w:t>
      </w:r>
      <w:r>
        <w:rPr>
          <w:rFonts w:ascii="Arial" w:cs="Arial" w:eastAsia="Arial" w:hAnsi="Arial"/>
          <w:sz w:val="16"/>
          <w:szCs w:val="16"/>
          <w:b w:val="1"/>
          <w:bCs w:val="1"/>
          <w:color w:val="auto"/>
        </w:rPr>
        <w:t>Beijing Judgment</w:t>
      </w:r>
      <w:r>
        <w:rPr>
          <w:rFonts w:ascii="Arial" w:cs="Arial" w:eastAsia="Arial" w:hAnsi="Arial"/>
          <w:sz w:val="16"/>
          <w:szCs w:val="16"/>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“New Oriental China” - to mean Beijing New Oriental Education &amp; Technology (Group) Co., Ltd., a company incorporated in accordance with the PRC Laws.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“Chinese Subsidiaries” - to mean all of the subsidiaries of New Oriental China, including the entities listed in Part Two of Schedule II of this opinion.</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“New Oriental Schools” - to mean all of the schools founded and operated by New Oriental China, including the entities listed in Part Three of Schedule II of this opinion.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“Chinese Entities” - to mean all of the WFOEs, New Oriental China, the Chinese Subsidiaries and the New Oriental Schools.</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“Underwriting Agreement” - to mean the underwriting agreement, to be entered among the Company, the Selling Shareholders and Credit Suisse Securities (USA) LLC and Goldman Sachs (Asia) L.L.C., as representatives of the Underwriters.</w:t>
      </w:r>
    </w:p>
    <w:p>
      <w:pPr>
        <w:spacing w:after="0" w:line="132"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“Deposit Agreement” - to mean the deposit agreement, to be entered among the Company, Deutsche Bank Trust Company Americas as depositary (the “</w:t>
      </w:r>
      <w:r>
        <w:rPr>
          <w:rFonts w:ascii="Arial" w:cs="Arial" w:eastAsia="Arial" w:hAnsi="Arial"/>
          <w:sz w:val="18"/>
          <w:szCs w:val="18"/>
          <w:b w:val="1"/>
          <w:bCs w:val="1"/>
          <w:color w:val="auto"/>
        </w:rPr>
        <w:t>Depositary</w:t>
      </w:r>
      <w:r>
        <w:rPr>
          <w:rFonts w:ascii="Arial" w:cs="Arial" w:eastAsia="Arial" w:hAnsi="Arial"/>
          <w:sz w:val="18"/>
          <w:szCs w:val="18"/>
          <w:color w:val="auto"/>
        </w:rPr>
        <w:t>”) and the holders and beneficial owners from time to time of the ADRs issued thereunder.</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Disclosure Package” – to mean (i) the General Use Issuer Free Writing Prospectus(es) issued at or prior to the Applicable Time, (ii) the preliminary prospectus dated August 22, 2006 (which is the most recent Statutory Prospectus distributed to investors generally) and (iii) the other information, if any, stated in Schedule D to the Underwriting Agreement, all considered together.</w:t>
      </w:r>
    </w:p>
    <w:p>
      <w:pPr>
        <w:sectPr>
          <w:pgSz w:w="11900" w:h="16838" w:orient="portrait"/>
          <w:cols w:equalWidth="0" w:num="1">
            <w:col w:w="11400"/>
          </w:cols>
          <w:pgMar w:left="240" w:top="274" w:right="25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Time” means the date of the Underwriting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meanings set forth in the Underwriting Agreement.</w:t>
      </w:r>
    </w:p>
    <w:p>
      <w:pPr>
        <w:spacing w:after="0" w:line="17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We have also examined originals and/or copies, certified or otherwise identified to our satisfaction, of other instruments as we have deemed necessary or advisable for the purposes of this opinion.</w:t>
      </w:r>
    </w:p>
    <w:p>
      <w:pPr>
        <w:spacing w:after="0" w:line="207" w:lineRule="exact"/>
        <w:rPr>
          <w:sz w:val="20"/>
          <w:szCs w:val="20"/>
          <w:color w:val="auto"/>
        </w:rPr>
      </w:pPr>
    </w:p>
    <w:p>
      <w:pPr>
        <w:ind w:left="220" w:hanging="212"/>
        <w:spacing w:after="0"/>
        <w:tabs>
          <w:tab w:leader="none" w:pos="22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Assumptions</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our examination of the aforesaid Documents, we have assumed, without independent investigation and inquiry that:</w:t>
      </w:r>
    </w:p>
    <w:p>
      <w:pPr>
        <w:spacing w:after="0" w:line="90" w:lineRule="exact"/>
        <w:rPr>
          <w:sz w:val="20"/>
          <w:szCs w:val="20"/>
          <w:color w:val="auto"/>
        </w:rPr>
      </w:pPr>
    </w:p>
    <w:p>
      <w:pPr>
        <w:ind w:left="460" w:hanging="452"/>
        <w:spacing w:after="0" w:line="259" w:lineRule="auto"/>
        <w:tabs>
          <w:tab w:leader="none" w:pos="4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all signatures, seals and chops are genuine and were made or affixed by representatives duly authorized by the respective parties, all natural persons have the necessary legal capacity, all Documents submitted to us as originals are authentic, and all Documents submitted to us as certified or photo static copies conform to the originals;</w:t>
      </w:r>
    </w:p>
    <w:p>
      <w:pPr>
        <w:spacing w:after="0" w:line="59"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no amendments, revisions, modifications or other changes have been made with respect to any of the Documents after they were submitted to us for the purposes of this legal opinion; and</w:t>
      </w:r>
    </w:p>
    <w:p>
      <w:pPr>
        <w:spacing w:after="0" w:line="5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each of the parties to the Documents (except the Chinese Entities) is duly organized and validly existing in good standing under the laws of its jurisdiction of organization and/or incorporation, and has been duly approved and authorized where applicable by the competent governmental authorities of the relevant jurisdiction to carry on its business and to perform its obligations under the Documents to which it is a party.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In expressing the opinions set forth herein, we have relied upon the factual matters contained in the representations and warranties set forth in the Documents.</w:t>
      </w:r>
    </w:p>
    <w:p>
      <w:pPr>
        <w:spacing w:after="0" w:line="269" w:lineRule="exact"/>
        <w:rPr>
          <w:sz w:val="20"/>
          <w:szCs w:val="20"/>
          <w:color w:val="auto"/>
        </w:rPr>
      </w:pPr>
    </w:p>
    <w:p>
      <w:pPr>
        <w:ind w:left="220" w:hanging="212"/>
        <w:spacing w:after="0"/>
        <w:tabs>
          <w:tab w:leader="none" w:pos="22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Opinion</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assumptions, exceptions and qualifications set forth herein, we are of the opinion that:</w:t>
      </w:r>
    </w:p>
    <w:p>
      <w:pPr>
        <w:spacing w:after="0" w:line="90" w:lineRule="exact"/>
        <w:rPr>
          <w:sz w:val="20"/>
          <w:szCs w:val="20"/>
          <w:color w:val="auto"/>
        </w:rPr>
      </w:pPr>
    </w:p>
    <w:p>
      <w:pPr>
        <w:ind w:right="120" w:firstLine="464"/>
        <w:spacing w:after="0" w:line="254" w:lineRule="auto"/>
        <w:tabs>
          <w:tab w:leader="none" w:pos="69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Each of the WFOEs has been duly incorporated and is validly existing as a wholly foreign owned enterprise with limited liability, with full enterprise legal person status and in good standing under the PRC Laws. All of the registered capital of each of the WFOEs has been fully paid for and all of the equity interest in the registered capital of each of the WFOEs is owned by the Company and such equity interest is free and clear of any security interest, mortgage, pledge, lien, encumbrance, claim or equity, or any third party right and was not issued in violation of preemptive or similar rights. The Articles of Association, business license and other constitutive or organization documents of each of the WOFEs comply with the requirements of applicable PRC law and are in full force and effect.</w:t>
      </w:r>
    </w:p>
    <w:p>
      <w:pPr>
        <w:sectPr>
          <w:pgSz w:w="11900" w:h="16838" w:orient="portrait"/>
          <w:cols w:equalWidth="0" w:num="1">
            <w:col w:w="11300"/>
          </w:cols>
          <w:pgMar w:left="240" w:top="280" w:right="359" w:bottom="1440" w:gutter="0" w:footer="0" w:header="0"/>
        </w:sectPr>
      </w:pPr>
    </w:p>
    <w:bookmarkStart w:id="342" w:name="page343"/>
    <w:bookmarkEnd w:id="342"/>
    <w:p>
      <w:pPr>
        <w:ind w:left="-464" w:right="40" w:firstLine="464"/>
        <w:spacing w:after="0" w:line="291" w:lineRule="auto"/>
        <w:tabs>
          <w:tab w:leader="none" w:pos="241" w:val="left"/>
        </w:tabs>
        <w:numPr>
          <w:ilvl w:val="0"/>
          <w:numId w:val="2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New Oriental China has been duly incorporated and is validly existing as a company with limited liability, with full enterprise legal person status and in good standing under the PRC Laws. All of the registered capital of New Oriental China has been fully paid for and all of the equity interest in the registered capital of New Oriental China is respectively owned by its shareholders as specified in Part One of Schedule II of this opinion and was not issued in violation of preemptive or similar rights. All of the equity interests in New Oriental China owned by its shareholders have been duly pledged to Beijing Decision in accordance with the PRC Laws. The Articles of Association, business license and other constitutive or organization documents of New Oriental China comply with the requirements of applicable PRC law and are in full force and effect.</w:t>
      </w:r>
    </w:p>
    <w:p>
      <w:pPr>
        <w:spacing w:after="0" w:line="120" w:lineRule="exact"/>
        <w:rPr>
          <w:rFonts w:ascii="Arial" w:cs="Arial" w:eastAsia="Arial" w:hAnsi="Arial"/>
          <w:sz w:val="16"/>
          <w:szCs w:val="16"/>
          <w:color w:val="auto"/>
        </w:rPr>
      </w:pPr>
    </w:p>
    <w:p>
      <w:pPr>
        <w:ind w:left="-464" w:firstLine="464"/>
        <w:spacing w:after="0" w:line="253" w:lineRule="auto"/>
        <w:tabs>
          <w:tab w:leader="none" w:pos="23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of the Chinese Subsidiaries has been duly incorporated and is validly existing as a company with limited liability, with full enterprise legal person status and in good standing under the PRC Laws. All of the registered capital of each of the Chinese Subsidiaries has been fully paid for and all of the equity interest in the registered capital of each of the Chinese Subsidiaries is owned by New Oriental China or its nominees or their respective subsidiaries, the details of which are listed in Part Two of Schedule II of this opinion and such equity interests are each free and clear of any security interest, mortgage, pledge, lien, encumbrance, claim or equity, or any third party right and was not issued in violation of preemptive or similar rights. The Articles of Association, business license and other constitutive or organization documents of each of the Chinese Subsidiaries comply with the requirements of applicable PRC law and are in full force and effect.</w:t>
      </w:r>
    </w:p>
    <w:p>
      <w:pPr>
        <w:spacing w:after="0" w:line="147" w:lineRule="exact"/>
        <w:rPr>
          <w:rFonts w:ascii="Arial" w:cs="Arial" w:eastAsia="Arial" w:hAnsi="Arial"/>
          <w:sz w:val="18"/>
          <w:szCs w:val="18"/>
          <w:color w:val="auto"/>
        </w:rPr>
      </w:pPr>
    </w:p>
    <w:p>
      <w:pPr>
        <w:ind w:left="-464" w:right="40" w:firstLine="464"/>
        <w:spacing w:after="0" w:line="254" w:lineRule="auto"/>
        <w:tabs>
          <w:tab w:leader="none" w:pos="24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of the New Oriental Schools has been duly established and is validly existing as a private school with limited liability, with full legal person status and in good standing under the PRC Laws. All of the registered capital of each of the New Oriental Schools has been fully paid for and all of the investment interests in each of the New Oriental Schools is owned by New Oriental China and such interests are each free and clear of any security interest, mortgage, pledge, lien, encumbrance, claim or equity, or any third party right and was not issued in violation of preemptive or similar rights. The Articles of Association, business license and other constitutive or organization documents of each of the New Oriental Schools comply with the requirements of applicable PRC law and are in full force and effect.</w:t>
      </w:r>
    </w:p>
    <w:p>
      <w:pPr>
        <w:spacing w:after="0" w:line="144" w:lineRule="exact"/>
        <w:rPr>
          <w:rFonts w:ascii="Arial" w:cs="Arial" w:eastAsia="Arial" w:hAnsi="Arial"/>
          <w:sz w:val="18"/>
          <w:szCs w:val="18"/>
          <w:color w:val="auto"/>
        </w:rPr>
      </w:pPr>
    </w:p>
    <w:p>
      <w:pPr>
        <w:ind w:left="-464" w:right="160" w:firstLine="464"/>
        <w:spacing w:after="0" w:line="268" w:lineRule="auto"/>
        <w:tabs>
          <w:tab w:leader="none" w:pos="23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ownership structure of the Company, the WFOEs, New Oriental China, the Chinese Subsidiaries and the New Oriental Schools, individually or in the aggregate, is in compliance with the PRC Laws.</w:t>
      </w:r>
    </w:p>
    <w:p>
      <w:pPr>
        <w:spacing w:after="0" w:line="131" w:lineRule="exact"/>
        <w:rPr>
          <w:rFonts w:ascii="Arial" w:cs="Arial" w:eastAsia="Arial" w:hAnsi="Arial"/>
          <w:sz w:val="18"/>
          <w:szCs w:val="18"/>
          <w:color w:val="auto"/>
        </w:rPr>
      </w:pPr>
    </w:p>
    <w:p>
      <w:pPr>
        <w:ind w:left="-464" w:right="20" w:firstLine="464"/>
        <w:spacing w:after="0" w:line="306" w:lineRule="auto"/>
        <w:tabs>
          <w:tab w:leader="none" w:pos="211" w:val="left"/>
        </w:tabs>
        <w:numPr>
          <w:ilvl w:val="0"/>
          <w:numId w:val="296"/>
        </w:numPr>
        <w:rPr>
          <w:rFonts w:ascii="Arial" w:cs="Arial" w:eastAsia="Arial" w:hAnsi="Arial"/>
          <w:sz w:val="16"/>
          <w:szCs w:val="16"/>
          <w:color w:val="auto"/>
        </w:rPr>
      </w:pPr>
      <w:r>
        <w:rPr>
          <w:rFonts w:ascii="Arial" w:cs="Arial" w:eastAsia="Arial" w:hAnsi="Arial"/>
          <w:sz w:val="16"/>
          <w:szCs w:val="16"/>
          <w:color w:val="auto"/>
        </w:rPr>
        <w:t>Each of the Chinese Entities has full power and authority (corporate and other) to own its properties and conduct its business as described in the General Disclosure Package; each of the Chinese Entities is duly qualified to transact business and is in good standing in the PRC in which such qualification is required, whether by reason of the ownership or leasing of property or the conduct of business, except as disclosed in the General Disclosure Package.</w:t>
      </w:r>
    </w:p>
    <w:p>
      <w:pPr>
        <w:sectPr>
          <w:pgSz w:w="11900" w:h="16838" w:orient="portrait"/>
          <w:cols w:equalWidth="0" w:num="1">
            <w:col w:w="10956"/>
          </w:cols>
          <w:pgMar w:left="704" w:top="279" w:right="239" w:bottom="1440" w:gutter="0" w:footer="0" w:header="0"/>
        </w:sectPr>
      </w:pPr>
    </w:p>
    <w:bookmarkStart w:id="343" w:name="page344"/>
    <w:bookmarkEnd w:id="343"/>
    <w:p>
      <w:pPr>
        <w:ind w:left="-464" w:right="100" w:firstLine="464"/>
        <w:spacing w:after="0" w:line="256" w:lineRule="auto"/>
        <w:tabs>
          <w:tab w:leader="none" w:pos="241"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All Approvals in the PRC required for the establishment and the maintenance of the legal person status of each of the Chinese Entities have been duly issued and obtained and all such Approvals are in full force and effect, have not been revoked, withdrawn, suspended or cancelled and are not subject to any condition. Each of the Chinese Entities has complied with all applicable registration and filing requirements under the PRC Laws for its establishment and the maintenance of its status and existence as a legal person.</w:t>
      </w:r>
    </w:p>
    <w:p>
      <w:pPr>
        <w:spacing w:after="0" w:line="143" w:lineRule="exact"/>
        <w:rPr>
          <w:rFonts w:ascii="Arial" w:cs="Arial" w:eastAsia="Arial" w:hAnsi="Arial"/>
          <w:sz w:val="18"/>
          <w:szCs w:val="18"/>
          <w:color w:val="auto"/>
        </w:rPr>
      </w:pPr>
    </w:p>
    <w:p>
      <w:pPr>
        <w:ind w:left="-464" w:right="20" w:firstLine="464"/>
        <w:spacing w:after="0" w:line="288" w:lineRule="auto"/>
        <w:tabs>
          <w:tab w:leader="none" w:pos="241" w:val="left"/>
        </w:tabs>
        <w:numPr>
          <w:ilvl w:val="0"/>
          <w:numId w:val="297"/>
        </w:numPr>
        <w:rPr>
          <w:rFonts w:ascii="Arial" w:cs="Arial" w:eastAsia="Arial" w:hAnsi="Arial"/>
          <w:sz w:val="16"/>
          <w:szCs w:val="16"/>
          <w:color w:val="auto"/>
        </w:rPr>
      </w:pPr>
      <w:r>
        <w:rPr>
          <w:rFonts w:ascii="Arial" w:cs="Arial" w:eastAsia="Arial" w:hAnsi="Arial"/>
          <w:sz w:val="16"/>
          <w:szCs w:val="16"/>
          <w:color w:val="auto"/>
        </w:rPr>
        <w:t>Each of the Chinese Entities has the power and authority and has satisfied all conditions and done all things required by the PRC Laws (including the making and obtaining of all necessary Approvals, if any) in order for it to own, use, lease and operate its assets and to conduct its existing and proposed business as set out in its business license and in the General Disclosure Package. Such Approvals are in full force and effect; no violation exists in respect of any such Approvals; and no such Approvals are subject to suspension, revocation or withdrawal and to the best of our knowledge, having made all due and reasonable inquiries, there are no circumstances existing which might lead to suspension, revocation or withdrawal of any such Approvals or any conditions attached thereto being adversely altered, except where such alteration would not individually or in the aggregate have a material adverse effect on the business, properties, management, financial position, shareholders’ equity, results of operation or prospectus of the Company and the Chinese Entities, taken as a whole (a “</w:t>
      </w:r>
      <w:r>
        <w:rPr>
          <w:rFonts w:ascii="Arial" w:cs="Arial" w:eastAsia="Arial" w:hAnsi="Arial"/>
          <w:sz w:val="16"/>
          <w:szCs w:val="16"/>
          <w:b w:val="1"/>
          <w:bCs w:val="1"/>
          <w:color w:val="auto"/>
        </w:rPr>
        <w:t>Material</w:t>
      </w:r>
      <w:r>
        <w:rPr>
          <w:rFonts w:ascii="Arial" w:cs="Arial" w:eastAsia="Arial" w:hAnsi="Arial"/>
          <w:sz w:val="16"/>
          <w:szCs w:val="16"/>
          <w:color w:val="auto"/>
        </w:rPr>
        <w:t xml:space="preserve"> </w:t>
      </w:r>
      <w:r>
        <w:rPr>
          <w:rFonts w:ascii="Arial" w:cs="Arial" w:eastAsia="Arial" w:hAnsi="Arial"/>
          <w:sz w:val="16"/>
          <w:szCs w:val="16"/>
          <w:b w:val="1"/>
          <w:bCs w:val="1"/>
          <w:color w:val="auto"/>
        </w:rPr>
        <w:t>Adverse Effect</w:t>
      </w:r>
      <w:r>
        <w:rPr>
          <w:rFonts w:ascii="Arial" w:cs="Arial" w:eastAsia="Arial" w:hAnsi="Arial"/>
          <w:sz w:val="16"/>
          <w:szCs w:val="16"/>
          <w:color w:val="auto"/>
        </w:rPr>
        <w:t>”). The business operations of each of the Chinese Entities are in compliance with all applicable PRC Laws, rules and regulations in all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aspects.</w:t>
      </w:r>
    </w:p>
    <w:p>
      <w:pPr>
        <w:spacing w:after="0" w:line="119" w:lineRule="exact"/>
        <w:rPr>
          <w:rFonts w:ascii="Arial" w:cs="Arial" w:eastAsia="Arial" w:hAnsi="Arial"/>
          <w:sz w:val="16"/>
          <w:szCs w:val="16"/>
          <w:color w:val="auto"/>
        </w:rPr>
      </w:pPr>
    </w:p>
    <w:p>
      <w:pPr>
        <w:ind w:left="-464" w:right="80" w:firstLine="464"/>
        <w:spacing w:after="0" w:line="289" w:lineRule="auto"/>
        <w:tabs>
          <w:tab w:leader="none" w:pos="202" w:val="left"/>
        </w:tabs>
        <w:numPr>
          <w:ilvl w:val="0"/>
          <w:numId w:val="297"/>
        </w:numPr>
        <w:rPr>
          <w:rFonts w:ascii="Arial" w:cs="Arial" w:eastAsia="Arial" w:hAnsi="Arial"/>
          <w:sz w:val="16"/>
          <w:szCs w:val="16"/>
          <w:color w:val="auto"/>
        </w:rPr>
      </w:pPr>
      <w:r>
        <w:rPr>
          <w:rFonts w:ascii="Arial" w:cs="Arial" w:eastAsia="Arial" w:hAnsi="Arial"/>
          <w:sz w:val="16"/>
          <w:szCs w:val="16"/>
          <w:color w:val="auto"/>
        </w:rPr>
        <w:t>Each of the relevant Chinese Entities has full power, authority and legal right to enter into, execute, adopt, assume, issue, deliver and perform their respective obligations under each of the Contracts to which it is expressed to be a party and such obligations constitute valid, legal and binding obligations enforceable in accordance with the terms of each of the Contracts against each of them in accordance with terms of each of the Contracts. Each Contract and the transactions contemplated thereby have been duly authorized by the PRC entities expressed to be parties thereto. No Approvals are required to be done or obtained for the performance of the respective relevant Chinese Entities of their obligations and the transactions contemplated under the Contracts other than those already obtained, except when the Company decides to exercise the option granted under the Exclusive Option Agreement to purchase the equity interests in New Oriental China, such purchase shall be subject to prior approval by the Ministry of Commerce or its local counterpart and be further subject to registrations with the relevant government authorities.</w:t>
      </w:r>
    </w:p>
    <w:p>
      <w:pPr>
        <w:spacing w:after="0" w:line="118" w:lineRule="exact"/>
        <w:rPr>
          <w:rFonts w:ascii="Arial" w:cs="Arial" w:eastAsia="Arial" w:hAnsi="Arial"/>
          <w:sz w:val="16"/>
          <w:szCs w:val="16"/>
          <w:color w:val="auto"/>
        </w:rPr>
      </w:pPr>
    </w:p>
    <w:p>
      <w:pPr>
        <w:ind w:left="-464" w:firstLine="464"/>
        <w:spacing w:after="0" w:line="290" w:lineRule="auto"/>
        <w:tabs>
          <w:tab w:leader="none" w:pos="202" w:val="left"/>
        </w:tabs>
        <w:numPr>
          <w:ilvl w:val="0"/>
          <w:numId w:val="297"/>
        </w:numPr>
        <w:rPr>
          <w:rFonts w:ascii="Arial" w:cs="Arial" w:eastAsia="Arial" w:hAnsi="Arial"/>
          <w:sz w:val="16"/>
          <w:szCs w:val="16"/>
          <w:color w:val="auto"/>
        </w:rPr>
      </w:pPr>
      <w:r>
        <w:rPr>
          <w:rFonts w:ascii="Arial" w:cs="Arial" w:eastAsia="Arial" w:hAnsi="Arial"/>
          <w:sz w:val="16"/>
          <w:szCs w:val="16"/>
          <w:color w:val="auto"/>
        </w:rPr>
        <w:t>Each of the relevant Chinese Entities has taken all necessary corporate and other actions and fulfilled and done all conditions and things required by the PRC Laws (including the making and obtaining of all relevant Approvals, if any) for the entering into, execution, adoption, assumption, issue, delivery and the performance of their respective obligations under each of the Contracts to which it is expressed to be a party except as disclosed in the preceding paragraph (i), and the representatives of the relevant Chinese Entities (as the case may be) have been duly authorized to do so. Each of the relevant Chinese Entities is not in breach of the terms and conditions of any Approvals; all such Approvals are in full force and effect; and no such Approvals have been amended or revoked or are subject to suspension, revocation or withdrawal and to the best of our knowledge, having made all due and reasonable inquiries, there are no circumstances existing which might lead to suspension, revocation or withdrawal of any such Approvals or any conditions attached thereto being adversely altered.</w:t>
      </w:r>
    </w:p>
    <w:p>
      <w:pPr>
        <w:sectPr>
          <w:pgSz w:w="11900" w:h="16838" w:orient="portrait"/>
          <w:cols w:equalWidth="0" w:num="1">
            <w:col w:w="10896"/>
          </w:cols>
          <w:pgMar w:left="704" w:top="279" w:right="299" w:bottom="1440" w:gutter="0" w:footer="0" w:header="0"/>
        </w:sectPr>
      </w:pPr>
    </w:p>
    <w:bookmarkStart w:id="344" w:name="page345"/>
    <w:bookmarkEnd w:id="344"/>
    <w:p>
      <w:pPr>
        <w:jc w:val="both"/>
        <w:ind w:right="160" w:firstLine="464"/>
        <w:spacing w:after="0" w:line="284" w:lineRule="auto"/>
        <w:tabs>
          <w:tab w:leader="none" w:pos="705" w:val="left"/>
        </w:tabs>
        <w:numPr>
          <w:ilvl w:val="1"/>
          <w:numId w:val="2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execution, delivery and performance by each of the relevant Chinese Entities of their respective obligations under each of the Contracts to which any of them is a party does not and will not contravene, result in a breach or violation of or constitute a default under (i) any of the terms and provisions of their respective Articles of Association or any of their respective business licenses and constitutive documents, (ii) any applicable PRC Laws or public policy, or</w:t>
      </w:r>
    </w:p>
    <w:p>
      <w:pPr>
        <w:spacing w:after="0" w:line="1" w:lineRule="exact"/>
        <w:rPr>
          <w:rFonts w:ascii="Arial" w:cs="Arial" w:eastAsia="Arial" w:hAnsi="Arial"/>
          <w:sz w:val="16"/>
          <w:szCs w:val="16"/>
          <w:color w:val="auto"/>
        </w:rPr>
      </w:pPr>
    </w:p>
    <w:p>
      <w:pPr>
        <w:ind w:right="120" w:firstLine="8"/>
        <w:spacing w:after="0" w:line="253" w:lineRule="auto"/>
        <w:tabs>
          <w:tab w:leader="none" w:pos="30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agreement, instrument, arbitration award or judgment, order or decree of any court of the PRC having jurisdiction over the relevant Chinese Entities, as the case may be, any agreement or instrument to which any of them is expressed to be a party or which is binding on any of them or any of their assets, and each Contract is in full force and effect and to the best of our knowledge after due inquiry, none of the Chinese Entities thereto is in breach or default in the performance of any of the terms or provisions of such Contact; no Contract has been amended or revoked or is liable to be set aside under any applicable PRC Laws.</w:t>
      </w:r>
    </w:p>
    <w:p>
      <w:pPr>
        <w:spacing w:after="0" w:line="145" w:lineRule="exact"/>
        <w:rPr>
          <w:rFonts w:ascii="Arial" w:cs="Arial" w:eastAsia="Arial" w:hAnsi="Arial"/>
          <w:sz w:val="18"/>
          <w:szCs w:val="18"/>
          <w:color w:val="auto"/>
        </w:rPr>
      </w:pPr>
    </w:p>
    <w:p>
      <w:pPr>
        <w:jc w:val="both"/>
        <w:ind w:right="100" w:firstLine="464"/>
        <w:spacing w:after="0" w:line="298" w:lineRule="auto"/>
        <w:tabs>
          <w:tab w:leader="none" w:pos="666" w:val="left"/>
        </w:tabs>
        <w:numPr>
          <w:ilvl w:val="1"/>
          <w:numId w:val="299"/>
        </w:numPr>
        <w:rPr>
          <w:rFonts w:ascii="Arial" w:cs="Arial" w:eastAsia="Arial" w:hAnsi="Arial"/>
          <w:sz w:val="16"/>
          <w:szCs w:val="16"/>
          <w:color w:val="auto"/>
        </w:rPr>
      </w:pPr>
      <w:r>
        <w:rPr>
          <w:rFonts w:ascii="Arial" w:cs="Arial" w:eastAsia="Arial" w:hAnsi="Arial"/>
          <w:sz w:val="16"/>
          <w:szCs w:val="16"/>
          <w:color w:val="auto"/>
        </w:rPr>
        <w:t>None of the Contracts or the transactions contemplated by the Contracts taken both individually and together as a whole has resulted in or results in the creation or imposition of any lien, charge, encumbrance or claim pursuant to any instrument or agreement to which any of the relevant Chinese Entities was or is a party or by which any of the relevant Chinese Entities or any of their respective properties or assets was or is bound, except the option granted under the Exclusive Option Agreement and the pledge created under the Exclusive Pledge Agreement, both as listed in Schedule I of this opinion.</w:t>
      </w:r>
    </w:p>
    <w:p>
      <w:pPr>
        <w:spacing w:after="0" w:line="112" w:lineRule="exact"/>
        <w:rPr>
          <w:rFonts w:ascii="Arial" w:cs="Arial" w:eastAsia="Arial" w:hAnsi="Arial"/>
          <w:sz w:val="16"/>
          <w:szCs w:val="16"/>
          <w:color w:val="auto"/>
        </w:rPr>
      </w:pPr>
    </w:p>
    <w:p>
      <w:pPr>
        <w:ind w:left="760" w:hanging="296"/>
        <w:spacing w:after="0"/>
        <w:tabs>
          <w:tab w:leader="none" w:pos="76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The choice of PRC Laws as the governing law in each Contract is a valid choice of governing law and will be binding on the parties to the relevant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Contract.</w:t>
      </w:r>
    </w:p>
    <w:p>
      <w:pPr>
        <w:spacing w:after="0" w:line="164" w:lineRule="exact"/>
        <w:rPr>
          <w:rFonts w:ascii="Arial" w:cs="Arial" w:eastAsia="Arial" w:hAnsi="Arial"/>
          <w:sz w:val="16"/>
          <w:szCs w:val="16"/>
          <w:color w:val="auto"/>
        </w:rPr>
      </w:pPr>
    </w:p>
    <w:p>
      <w:pPr>
        <w:ind w:right="60" w:firstLine="464"/>
        <w:spacing w:after="0" w:line="259" w:lineRule="auto"/>
        <w:tabs>
          <w:tab w:leader="none" w:pos="70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Each of the Contracts and the transactions contemplated thereby are legal, valid, enforceable and admissible as evidence under the PRC Laws and public policy and is binding on the persons expressed to be parties thereto. No provision in any of the Contracts (taken both individually and together as a whole) contravenes in any way any applicable the PRC Laws or public policy.</w:t>
      </w:r>
    </w:p>
    <w:p>
      <w:pPr>
        <w:spacing w:after="0" w:line="140" w:lineRule="exact"/>
        <w:rPr>
          <w:rFonts w:ascii="Arial" w:cs="Arial" w:eastAsia="Arial" w:hAnsi="Arial"/>
          <w:sz w:val="18"/>
          <w:szCs w:val="18"/>
          <w:color w:val="auto"/>
        </w:rPr>
      </w:pPr>
    </w:p>
    <w:p>
      <w:pPr>
        <w:ind w:firstLine="464"/>
        <w:spacing w:after="0" w:line="287" w:lineRule="auto"/>
        <w:tabs>
          <w:tab w:leader="none" w:pos="705" w:val="left"/>
        </w:tabs>
        <w:numPr>
          <w:ilvl w:val="1"/>
          <w:numId w:val="299"/>
        </w:numPr>
        <w:rPr>
          <w:rFonts w:ascii="Arial" w:cs="Arial" w:eastAsia="Arial" w:hAnsi="Arial"/>
          <w:sz w:val="16"/>
          <w:szCs w:val="16"/>
          <w:color w:val="auto"/>
        </w:rPr>
      </w:pPr>
      <w:r>
        <w:rPr>
          <w:rFonts w:ascii="Arial" w:cs="Arial" w:eastAsia="Arial" w:hAnsi="Arial"/>
          <w:sz w:val="16"/>
          <w:szCs w:val="16"/>
          <w:color w:val="auto"/>
        </w:rPr>
        <w:t>None of the WFOEs is currently prohibited, directly or indirectly, from paying any dividends on their equity interest, except as described in or contemplated by the General Disclosure Package. The current beneficial owners of the Company who are PRC residents have registered with the local branch of the State Administration of Foreign Exchange, or SAFE, as required under the SAFE’s Notice on Relevant Issues Concerning Foreign Exchange Administration for PRC Residents to Engage in Financing and Inbound Investment via Overseas Special Purpose Vehicles, or SAFE Circular No. 75, issued on October 21, 2005. Except as described in the General Disclosure Package, all dividends declared and payable upon the equity interests of the WFOEs may be converted into foreign currency that may be freely transferred out of the PRC, provided however that the current or future beneficial shareholders of the Company (direct or indirect) who are PRC residents shall complete the necessary foreign exchange registration for their outbound investments in accordance with the relevant foreign exchange regulations on a timely basis. All dividends payable by the WFOEs are not and will not be subject to withholding or other taxes under the PRC Laws and when paid will be free and clear of any tax, withholding or deduction in the PRC without the necessity of obtaining any governmental authorization in the PRC.</w:t>
      </w:r>
    </w:p>
    <w:p>
      <w:pPr>
        <w:sectPr>
          <w:pgSz w:w="11900" w:h="16838" w:orient="portrait"/>
          <w:cols w:equalWidth="0" w:num="1">
            <w:col w:w="11400"/>
          </w:cols>
          <w:pgMar w:left="240" w:top="280" w:right="259" w:bottom="1440" w:gutter="0" w:footer="0" w:header="0"/>
        </w:sectPr>
      </w:pPr>
    </w:p>
    <w:bookmarkStart w:id="345" w:name="page346"/>
    <w:bookmarkEnd w:id="345"/>
    <w:p>
      <w:pPr>
        <w:ind w:right="160" w:firstLine="464"/>
        <w:spacing w:after="0" w:line="306" w:lineRule="auto"/>
        <w:tabs>
          <w:tab w:leader="none" w:pos="705" w:val="left"/>
        </w:tabs>
        <w:numPr>
          <w:ilvl w:val="0"/>
          <w:numId w:val="3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are no legal, administrative, arbitration or other proceedings which has challenged the legality, effectiveness or validity of the Contracts and/or the transactions contemplated thereby, individually or taken as a whole, or to the best of our knowledge after making due and reasonable enquiries, no such proceedings are threatened or contemplated by any governmental or regulatory authority or by any other persons.</w:t>
      </w:r>
    </w:p>
    <w:p>
      <w:pPr>
        <w:spacing w:after="0" w:line="106" w:lineRule="exact"/>
        <w:rPr>
          <w:rFonts w:ascii="Arial" w:cs="Arial" w:eastAsia="Arial" w:hAnsi="Arial"/>
          <w:sz w:val="16"/>
          <w:szCs w:val="16"/>
          <w:color w:val="auto"/>
        </w:rPr>
      </w:pPr>
    </w:p>
    <w:p>
      <w:pPr>
        <w:ind w:right="640" w:firstLine="464"/>
        <w:spacing w:after="0" w:line="268" w:lineRule="auto"/>
        <w:tabs>
          <w:tab w:leader="none" w:pos="70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No further action from shareholders or directors of each of Chinese Entities is required to approve and implement in full the Contracts and the transactions contemplated thereby.</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obligations undertaken by and the rights granted to each party to the Contracts are legally permissible under the PRC Laws.</w:t>
      </w:r>
    </w:p>
    <w:p>
      <w:pPr>
        <w:spacing w:after="0" w:line="171" w:lineRule="exact"/>
        <w:rPr>
          <w:rFonts w:ascii="Arial" w:cs="Arial" w:eastAsia="Arial" w:hAnsi="Arial"/>
          <w:sz w:val="18"/>
          <w:szCs w:val="18"/>
          <w:color w:val="auto"/>
        </w:rPr>
      </w:pPr>
    </w:p>
    <w:p>
      <w:pPr>
        <w:ind w:right="520" w:firstLine="464"/>
        <w:spacing w:after="0" w:line="268" w:lineRule="auto"/>
        <w:tabs>
          <w:tab w:leader="none" w:pos="68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No third party Approvals is required for the implementation of the Contracts or the transactions contemplated thereby or for each of the relevant Chinese Entities to fulfill its obligations under the Contracts.</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description of the corporate structure of the Company and the Contracts as set forth in the General Disclosure Package under the captions</w:t>
      </w:r>
    </w:p>
    <w:p>
      <w:pPr>
        <w:spacing w:after="0" w:line="38" w:lineRule="exact"/>
        <w:rPr>
          <w:rFonts w:ascii="Arial" w:cs="Arial" w:eastAsia="Arial" w:hAnsi="Arial"/>
          <w:sz w:val="16"/>
          <w:szCs w:val="16"/>
          <w:color w:val="auto"/>
        </w:rPr>
      </w:pPr>
    </w:p>
    <w:p>
      <w:pPr>
        <w:jc w:val="both"/>
        <w:ind w:right="20"/>
        <w:spacing w:after="0" w:line="295" w:lineRule="auto"/>
        <w:rPr>
          <w:rFonts w:ascii="Arial" w:cs="Arial" w:eastAsia="Arial" w:hAnsi="Arial"/>
          <w:sz w:val="16"/>
          <w:szCs w:val="16"/>
          <w:color w:val="auto"/>
        </w:rPr>
      </w:pPr>
      <w:r>
        <w:rPr>
          <w:rFonts w:ascii="Arial" w:cs="Arial" w:eastAsia="Arial" w:hAnsi="Arial"/>
          <w:sz w:val="16"/>
          <w:szCs w:val="16"/>
          <w:color w:val="auto"/>
        </w:rPr>
        <w:t>“Corporate Structure” and “Related Party Transactions” and filed as exhibits to the Initial Registration Statement, is true and accurate in all material respects and nothing has been omitted from such description which would make it misleading in any material respect. To the best of our knowledge after due inquiry, there is no other agreement, contract or other document relating to the corporate structure or the operation of the Company and the Chinese Entities which has not been, to the extent material to the Company and the Chinese Entities, disclosed in the General Disclosure Package.</w:t>
      </w:r>
    </w:p>
    <w:p>
      <w:pPr>
        <w:spacing w:after="0" w:line="115" w:lineRule="exact"/>
        <w:rPr>
          <w:rFonts w:ascii="Arial" w:cs="Arial" w:eastAsia="Arial" w:hAnsi="Arial"/>
          <w:sz w:val="16"/>
          <w:szCs w:val="16"/>
          <w:color w:val="auto"/>
        </w:rPr>
      </w:pPr>
    </w:p>
    <w:p>
      <w:pPr>
        <w:ind w:right="20" w:firstLine="464"/>
        <w:spacing w:after="0" w:line="256" w:lineRule="auto"/>
        <w:tabs>
          <w:tab w:leader="none" w:pos="70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None of the Chinese Entities is in breach of or in default under (i) any applicable PRC Laws, (ii) any Approval granted by any PRC governmental or regulatory body or its business license, or (iii) their respective articles of association, other constitutive documents or any contracts to which any entity is a party, such breach or default which has not been corrected, remedied, rectified or waived, and there exists no such breach or default the result of which would have a Material Adverse Effect.</w:t>
      </w:r>
    </w:p>
    <w:p>
      <w:pPr>
        <w:spacing w:after="0" w:line="143" w:lineRule="exact"/>
        <w:rPr>
          <w:rFonts w:ascii="Arial" w:cs="Arial" w:eastAsia="Arial" w:hAnsi="Arial"/>
          <w:sz w:val="18"/>
          <w:szCs w:val="18"/>
          <w:color w:val="auto"/>
        </w:rPr>
      </w:pPr>
    </w:p>
    <w:p>
      <w:pPr>
        <w:ind w:firstLine="464"/>
        <w:spacing w:after="0" w:line="256" w:lineRule="auto"/>
        <w:tabs>
          <w:tab w:leader="none" w:pos="70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None of the Chinese Entities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it is a party or by which it is bound or to which any of its property or assets is subject except for any such default or violation that would not, individually or in the aggregate have a Material Adverse Effect.</w:t>
      </w:r>
    </w:p>
    <w:p>
      <w:pPr>
        <w:sectPr>
          <w:pgSz w:w="11900" w:h="16838" w:orient="portrait"/>
          <w:cols w:equalWidth="0" w:num="1">
            <w:col w:w="11340"/>
          </w:cols>
          <w:pgMar w:left="240" w:top="280" w:right="319" w:bottom="1440" w:gutter="0" w:footer="0" w:header="0"/>
        </w:sectPr>
      </w:pPr>
    </w:p>
    <w:bookmarkStart w:id="346" w:name="page347"/>
    <w:bookmarkEnd w:id="346"/>
    <w:p>
      <w:pPr>
        <w:ind w:left="-8" w:right="80" w:firstLine="464"/>
        <w:spacing w:after="0" w:line="370" w:lineRule="auto"/>
        <w:tabs>
          <w:tab w:leader="none" w:pos="736" w:val="left"/>
        </w:tabs>
        <w:numPr>
          <w:ilvl w:val="1"/>
          <w:numId w:val="30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the Chinese Entities has taken any action nor have any steps been taken or legal or administrative proceedings been commenced or threatened for the winding up, dissolution or liquidation of such Chinese Entities, or for the suspension, withdrawal, revocation or cancellation of their business licenses.</w:t>
      </w:r>
    </w:p>
    <w:p>
      <w:pPr>
        <w:spacing w:after="0" w:line="62" w:lineRule="exact"/>
        <w:rPr>
          <w:rFonts w:ascii="Arial" w:cs="Arial" w:eastAsia="Arial" w:hAnsi="Arial"/>
          <w:sz w:val="15"/>
          <w:szCs w:val="15"/>
          <w:color w:val="auto"/>
        </w:rPr>
      </w:pPr>
    </w:p>
    <w:p>
      <w:pPr>
        <w:ind w:left="-8" w:right="540" w:firstLine="464"/>
        <w:spacing w:after="0" w:line="259" w:lineRule="auto"/>
        <w:tabs>
          <w:tab w:leader="none" w:pos="697" w:val="left"/>
        </w:tabs>
        <w:numPr>
          <w:ilvl w:val="1"/>
          <w:numId w:val="301"/>
        </w:numPr>
        <w:rPr>
          <w:rFonts w:ascii="Arial" w:cs="Arial" w:eastAsia="Arial" w:hAnsi="Arial"/>
          <w:sz w:val="18"/>
          <w:szCs w:val="18"/>
          <w:color w:val="auto"/>
        </w:rPr>
      </w:pPr>
      <w:r>
        <w:rPr>
          <w:rFonts w:ascii="Arial" w:cs="Arial" w:eastAsia="Arial" w:hAnsi="Arial"/>
          <w:sz w:val="18"/>
          <w:szCs w:val="18"/>
          <w:color w:val="auto"/>
        </w:rPr>
        <w:t>None of the Chinese Entities or the Company is entitled to any immunity from any legal proceedings or other legal process or from enforcement execution or attachment in respect of their obligations in the transactions contemplated under the Underwriting Agreement, the Deposit Agreement or the Contracts.</w:t>
      </w:r>
    </w:p>
    <w:p>
      <w:pPr>
        <w:spacing w:after="0" w:line="140" w:lineRule="exact"/>
        <w:rPr>
          <w:rFonts w:ascii="Arial" w:cs="Arial" w:eastAsia="Arial" w:hAnsi="Arial"/>
          <w:sz w:val="18"/>
          <w:szCs w:val="18"/>
          <w:color w:val="auto"/>
        </w:rPr>
      </w:pPr>
    </w:p>
    <w:p>
      <w:pPr>
        <w:jc w:val="both"/>
        <w:ind w:left="-8" w:right="160" w:firstLine="464"/>
        <w:spacing w:after="0" w:line="302" w:lineRule="auto"/>
        <w:tabs>
          <w:tab w:leader="none" w:pos="697" w:val="left"/>
        </w:tabs>
        <w:numPr>
          <w:ilvl w:val="1"/>
          <w:numId w:val="301"/>
        </w:numPr>
        <w:rPr>
          <w:rFonts w:ascii="Arial" w:cs="Arial" w:eastAsia="Arial" w:hAnsi="Arial"/>
          <w:sz w:val="15"/>
          <w:szCs w:val="15"/>
          <w:color w:val="auto"/>
        </w:rPr>
      </w:pPr>
      <w:r>
        <w:rPr>
          <w:rFonts w:ascii="Arial" w:cs="Arial" w:eastAsia="Arial" w:hAnsi="Arial"/>
          <w:sz w:val="15"/>
          <w:szCs w:val="15"/>
          <w:color w:val="auto"/>
        </w:rPr>
        <w:t>Except as disclosed in the General Disclosure Package, the Chinese Entities own, possess or can acquire on reasonable terms sufficient trademarks, trade names, patent rights, copyrights, domain names, licenses, approvals, trade secrets, inventions, technology, know-how and other intellectual property and similar rights, including registration and applications thereof (collectively, “</w:t>
      </w:r>
      <w:r>
        <w:rPr>
          <w:rFonts w:ascii="Arial" w:cs="Arial" w:eastAsia="Arial" w:hAnsi="Arial"/>
          <w:sz w:val="15"/>
          <w:szCs w:val="15"/>
          <w:b w:val="1"/>
          <w:bCs w:val="1"/>
          <w:color w:val="auto"/>
        </w:rPr>
        <w:t>Intellectual Property Rights</w:t>
      </w:r>
      <w:r>
        <w:rPr>
          <w:rFonts w:ascii="Arial" w:cs="Arial" w:eastAsia="Arial" w:hAnsi="Arial"/>
          <w:sz w:val="15"/>
          <w:szCs w:val="15"/>
          <w:color w:val="auto"/>
        </w:rPr>
        <w:t>”) necessary or material to the conduct of the business now conducted or proposed in the General Disclosure Package. Except as disclosed in the General Disclosure Package and in Section C paragraph (z) below.</w:t>
      </w:r>
    </w:p>
    <w:p>
      <w:pPr>
        <w:spacing w:after="0" w:line="2" w:lineRule="exact"/>
        <w:rPr>
          <w:rFonts w:ascii="Arial" w:cs="Arial" w:eastAsia="Arial" w:hAnsi="Arial"/>
          <w:sz w:val="15"/>
          <w:szCs w:val="15"/>
          <w:color w:val="auto"/>
        </w:rPr>
      </w:pPr>
    </w:p>
    <w:p>
      <w:pPr>
        <w:ind w:left="-8" w:firstLine="8"/>
        <w:spacing w:after="0" w:line="288" w:lineRule="auto"/>
        <w:tabs>
          <w:tab w:leader="none" w:pos="202"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there are no rights of third parties to any of the Intellectual Property Rights owned by the Company or the Chinese Entities; (ii) there is no pending or, to our knowledge, threatened action, suit, proceeding or claim by others challenging the Company’s or any of the Chinese Entities’ rights in or to, or the violation of any of the terms of, any of their Intellectual Property Rights; (iii) there is no pending or, to our knowledge, threatened action, suit, proceeding or claim by others challenging the validity, enforceability or scope of any such Intellectual Property Rights; (iv) there is no pending or, to our knowledge, threatened action, suit, proceeding or claim by others that the Company or the Chinese Entities infringes, misappropriates or otherwise violates or conflicts with any Intellectual Property Rights or other proprietary rights of others, except in each case covered by clauses (i) to (iv) above such as would not, if determined adversely to the Company or any of the Chinese Entities, individually or in the aggregate, have a Material Adverse Effect.</w:t>
      </w:r>
    </w:p>
    <w:p>
      <w:pPr>
        <w:spacing w:after="0" w:line="122" w:lineRule="exact"/>
        <w:rPr>
          <w:rFonts w:ascii="Arial" w:cs="Arial" w:eastAsia="Arial" w:hAnsi="Arial"/>
          <w:sz w:val="16"/>
          <w:szCs w:val="16"/>
          <w:color w:val="auto"/>
        </w:rPr>
      </w:pPr>
    </w:p>
    <w:p>
      <w:pPr>
        <w:ind w:left="-8" w:right="120" w:firstLine="464"/>
        <w:spacing w:after="0" w:line="255" w:lineRule="auto"/>
        <w:tabs>
          <w:tab w:leader="none" w:pos="687" w:val="left"/>
        </w:tabs>
        <w:numPr>
          <w:ilvl w:val="1"/>
          <w:numId w:val="302"/>
        </w:numPr>
        <w:rPr>
          <w:rFonts w:ascii="Arial" w:cs="Arial" w:eastAsia="Arial" w:hAnsi="Arial"/>
          <w:sz w:val="18"/>
          <w:szCs w:val="18"/>
          <w:color w:val="auto"/>
        </w:rPr>
      </w:pPr>
      <w:r>
        <w:rPr>
          <w:rFonts w:ascii="Arial" w:cs="Arial" w:eastAsia="Arial" w:hAnsi="Arial"/>
          <w:sz w:val="18"/>
          <w:szCs w:val="18"/>
          <w:color w:val="auto"/>
        </w:rPr>
        <w:t>Except as disclosed in Schedule III of this opinion, we do not know of any PRC legal or governmental proceedings pending or threatened to which the Company or any of the Chinese Entities is a party or to which any of the properties of the Company or any of the Chinese Entities is subject that are required to be described in the Registration Statement or the General Disclosure Package and are not so described or of any statutes, regulations, contracts or other documents that are required to be described in the Registration Statement or the General Disclosure Package or to be filed as exhibits to the Registration Statement that are not described or filed as required:</w:t>
      </w:r>
    </w:p>
    <w:p>
      <w:pPr>
        <w:spacing w:after="0" w:line="62" w:lineRule="exact"/>
        <w:rPr>
          <w:sz w:val="20"/>
          <w:szCs w:val="20"/>
          <w:color w:val="auto"/>
        </w:rPr>
      </w:pPr>
    </w:p>
    <w:p>
      <w:pPr>
        <w:ind w:left="-8" w:right="60" w:firstLine="464"/>
        <w:spacing w:after="0" w:line="332" w:lineRule="auto"/>
        <w:tabs>
          <w:tab w:leader="none" w:pos="76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There are no outstanding guarantees or contingent payment obligations of any of the Chinese Entities in respect of indebtedness of third parties except as disclosed in the General Disclosure Package.</w:t>
      </w:r>
    </w:p>
    <w:p>
      <w:pPr>
        <w:sectPr>
          <w:pgSz w:w="11900" w:h="16838" w:orient="portrait"/>
          <w:cols w:equalWidth="0" w:num="1">
            <w:col w:w="11392"/>
          </w:cols>
          <w:pgMar w:left="248" w:top="280" w:right="259" w:bottom="1440" w:gutter="0" w:footer="0" w:header="0"/>
        </w:sectPr>
      </w:pPr>
    </w:p>
    <w:bookmarkStart w:id="347" w:name="page348"/>
    <w:bookmarkEnd w:id="347"/>
    <w:p>
      <w:pPr>
        <w:ind w:left="-464" w:right="80" w:firstLine="464"/>
        <w:spacing w:after="0" w:line="291" w:lineRule="auto"/>
        <w:tabs>
          <w:tab w:leader="none" w:pos="328" w:val="left"/>
        </w:tabs>
        <w:numPr>
          <w:ilvl w:val="0"/>
          <w:numId w:val="3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execution and delivery by the Company of, and the performance by the Company of its obligations under the Underwriting Agreement and the Deposit Agreement will not contravene any provision of the PRC Laws or the articles of association or other governing documents of any of the Chinese Entities or any agreement or other instrument governed by the PRC Laws and binding upon any of the Chinese Entities that is material to the Company and the Chinese Entities, taken as a whole, or any judgment, policy, order or decree of any governmental body, agency or court of the PRC having jurisdiction over the Company or any Chinese Entities, and no Approval any governmental body or agency is required for the performance by the Company of its obligations under the Underwriting Agreement or the Deposit Agreement.</w:t>
      </w:r>
    </w:p>
    <w:p>
      <w:pPr>
        <w:spacing w:after="0" w:line="120" w:lineRule="exact"/>
        <w:rPr>
          <w:rFonts w:ascii="Arial" w:cs="Arial" w:eastAsia="Arial" w:hAnsi="Arial"/>
          <w:sz w:val="16"/>
          <w:szCs w:val="16"/>
          <w:color w:val="auto"/>
        </w:rPr>
      </w:pPr>
    </w:p>
    <w:p>
      <w:pPr>
        <w:ind w:left="-464" w:right="20" w:firstLine="464"/>
        <w:spacing w:after="0" w:line="253" w:lineRule="auto"/>
        <w:tabs>
          <w:tab w:leader="none" w:pos="30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Six PRC government regulatory authorities jointly promulgated the Provisions on Merger and Acquisition of Domestic Enterprises by Foreign Investors on August 8, 2006 (the “Provisions”), which among other things, requires that the offshore listing and trading of the securities of a special purpose company (“SPC”) obtain prior approval from the China Securities Regulatory Commission. For the purpose of the Provisions, SPC refers to an offshore company directly or indirectly controlled by a domestic company or individual for the purposes of the offshore listing of the interests in a domestic company which is beneficially owned by such domestic company or individual. The Provisions will become effective on September 8, 2006 and do not have retroactive effect, therefore, we are of the opinion that if the ADSs of the Company are listed and the trading of such ADSs commences prior to September 8, 2006, the Provisions will not apply to the Offering.</w:t>
      </w:r>
    </w:p>
    <w:p>
      <w:pPr>
        <w:spacing w:after="0" w:line="147" w:lineRule="exact"/>
        <w:rPr>
          <w:rFonts w:ascii="Arial" w:cs="Arial" w:eastAsia="Arial" w:hAnsi="Arial"/>
          <w:sz w:val="18"/>
          <w:szCs w:val="18"/>
          <w:color w:val="auto"/>
        </w:rPr>
      </w:pPr>
    </w:p>
    <w:p>
      <w:pPr>
        <w:ind w:left="-464" w:right="460" w:firstLine="464"/>
        <w:spacing w:after="0" w:line="268" w:lineRule="auto"/>
        <w:tabs>
          <w:tab w:leader="none" w:pos="32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choice of law provisions in the Underwriting Agreement and the Deposit Agreement will be recognized by PRC courts; each of the Chinese Entities can be sued in its own name under the PRC Laws.</w:t>
      </w:r>
    </w:p>
    <w:p>
      <w:pPr>
        <w:spacing w:after="0" w:line="131" w:lineRule="exact"/>
        <w:rPr>
          <w:rFonts w:ascii="Arial" w:cs="Arial" w:eastAsia="Arial" w:hAnsi="Arial"/>
          <w:sz w:val="18"/>
          <w:szCs w:val="18"/>
          <w:color w:val="auto"/>
        </w:rPr>
      </w:pPr>
    </w:p>
    <w:p>
      <w:pPr>
        <w:ind w:left="-464" w:right="180" w:firstLine="464"/>
        <w:spacing w:after="0" w:line="306" w:lineRule="auto"/>
        <w:tabs>
          <w:tab w:leader="none" w:pos="309"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Any judgment obtained in a New York court arising out of or in relation to the obligations of the Company and the Chinese Entities under the Underwriting Agreement or the Deposit Agreement would be enforceable against the Company and the Chinese Entities in the courts of the PRC, subject to the applicable provisions of the Civil Procedure Law of the PRC relating to the enforceability of foreign judgments.</w:t>
      </w:r>
    </w:p>
    <w:p>
      <w:pPr>
        <w:spacing w:after="0" w:line="106" w:lineRule="exact"/>
        <w:rPr>
          <w:rFonts w:ascii="Arial" w:cs="Arial" w:eastAsia="Arial" w:hAnsi="Arial"/>
          <w:sz w:val="16"/>
          <w:szCs w:val="16"/>
          <w:color w:val="auto"/>
        </w:rPr>
      </w:pPr>
    </w:p>
    <w:p>
      <w:pPr>
        <w:ind w:left="-464" w:right="20" w:firstLine="464"/>
        <w:spacing w:after="0" w:line="298" w:lineRule="auto"/>
        <w:tabs>
          <w:tab w:leader="none" w:pos="26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statements in the General Disclosure Package under “Prospectus Summary,” “Corporate Structure,” “Management’s Discussion and Analysis of Financial Condition and Results of Operation,” “Business,” “Related Party Transactions,” “Enforceability of Civil Liabilities,” “Regulations” and “Risk Factors,” insofar as such statements constitute summaries of the legal matters, documents or proceedings referred to therein, in each case to the extent, and only to the extent, governed by the PRC Laws, fairly present the information and summarize the matters referred to therein.</w:t>
      </w:r>
    </w:p>
    <w:p>
      <w:pPr>
        <w:spacing w:after="0" w:line="112" w:lineRule="exact"/>
        <w:rPr>
          <w:rFonts w:ascii="Arial" w:cs="Arial" w:eastAsia="Arial" w:hAnsi="Arial"/>
          <w:sz w:val="16"/>
          <w:szCs w:val="16"/>
          <w:color w:val="auto"/>
        </w:rPr>
      </w:pPr>
    </w:p>
    <w:p>
      <w:pPr>
        <w:ind w:left="-464" w:firstLine="464"/>
        <w:spacing w:after="0" w:line="254" w:lineRule="auto"/>
        <w:tabs>
          <w:tab w:leader="none" w:pos="32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Each of the Chinese Entities has good and marketable title to all real property and good and marketable title to all personal property owned by them, in each case free and clear of all liens, encumbrances and defects except as disclosed in Schedule IV and except such as described or referred to in the General Disclosure Package or such as do not materially interfere with the use made and proposed to be made of such property by any of the Chinese Entities, as the case may be; and any real property and buildings held under lease by Chinese Entities are held by them under valid, existing and enforceable leases with such exceptions as are not material and do not interfere with the use made or proposed to be made of such property and buildings by any of the Chinese Entities, as the case may be.</w:t>
      </w:r>
    </w:p>
    <w:p>
      <w:pPr>
        <w:sectPr>
          <w:pgSz w:w="11900" w:h="16838" w:orient="portrait"/>
          <w:cols w:equalWidth="0" w:num="1">
            <w:col w:w="10936"/>
          </w:cols>
          <w:pgMar w:left="704" w:top="279" w:right="259" w:bottom="1440" w:gutter="0" w:footer="0" w:header="0"/>
        </w:sectPr>
      </w:pPr>
    </w:p>
    <w:bookmarkStart w:id="348" w:name="page349"/>
    <w:bookmarkEnd w:id="348"/>
    <w:p>
      <w:pPr>
        <w:ind w:firstLine="464"/>
        <w:spacing w:after="0" w:line="255" w:lineRule="auto"/>
        <w:tabs>
          <w:tab w:leader="none" w:pos="793"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Chinese Entities is in compliance with all applicable PRC Laws relating to the protection of human health and safety, the environment or hazardous or toxic substances or wastes, pollutants or contaminants (“</w:t>
      </w:r>
      <w:r>
        <w:rPr>
          <w:rFonts w:ascii="Arial" w:cs="Arial" w:eastAsia="Arial" w:hAnsi="Arial"/>
          <w:sz w:val="18"/>
          <w:szCs w:val="18"/>
          <w:b w:val="1"/>
          <w:bCs w:val="1"/>
          <w:color w:val="auto"/>
        </w:rPr>
        <w:t>Environmental Laws</w:t>
      </w:r>
      <w:r>
        <w:rPr>
          <w:rFonts w:ascii="Arial" w:cs="Arial" w:eastAsia="Arial" w:hAnsi="Arial"/>
          <w:sz w:val="18"/>
          <w:szCs w:val="18"/>
          <w:color w:val="auto"/>
        </w:rPr>
        <w:t>”), except, in each case, where noncompliance, individually or in the aggregate, would not have a Material Adverse Effect, there are no legal or governmental proceedings pending, or to the best of our knowledge, threatened against or affecting any of the Chinese Entities under any Environmental Law which, individually or in the aggregate, could reasonably be expected to have a Material Adverse Effect.</w:t>
      </w:r>
    </w:p>
    <w:p>
      <w:pPr>
        <w:spacing w:after="0" w:line="142" w:lineRule="exact"/>
        <w:rPr>
          <w:rFonts w:ascii="Arial" w:cs="Arial" w:eastAsia="Arial" w:hAnsi="Arial"/>
          <w:sz w:val="18"/>
          <w:szCs w:val="18"/>
          <w:color w:val="auto"/>
        </w:rPr>
      </w:pPr>
    </w:p>
    <w:p>
      <w:pPr>
        <w:ind w:firstLine="464"/>
        <w:spacing w:after="0" w:line="268" w:lineRule="auto"/>
        <w:tabs>
          <w:tab w:leader="none" w:pos="71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Neither the Company or any of the Chinese Entities has any financial obligation to the PRC government or any social security fund or other fund of the PRC government in connection with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There are no reporting obligations under PRC law on non-PRC resident holders of the ADSs or the common shares offered in this offering.</w:t>
      </w:r>
    </w:p>
    <w:p>
      <w:pPr>
        <w:spacing w:after="0" w:line="194" w:lineRule="exact"/>
        <w:rPr>
          <w:rFonts w:ascii="Arial" w:cs="Arial" w:eastAsia="Arial" w:hAnsi="Arial"/>
          <w:sz w:val="16"/>
          <w:szCs w:val="16"/>
          <w:color w:val="auto"/>
        </w:rPr>
      </w:pPr>
    </w:p>
    <w:p>
      <w:pPr>
        <w:ind w:firstLine="464"/>
        <w:spacing w:after="0" w:line="298" w:lineRule="auto"/>
        <w:tabs>
          <w:tab w:leader="none" w:pos="793"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As a matter of PRC law, no non-PRC resident holder of the ADSs or common shares will be subject to any personal liability, or be subject to a requirement to be licensed or otherwise qualified to do business or be deemed domiciled or resident in the PRC, by virtue only of holding such ADSs or common shares. There are no limitations under PRC law on the rights of non-PRC resident holders of the ADSs or common shares to hold, vote, or transfer their securities nor any statutory pre-emptive rights or transfer restrictions applicable to the ordinary shares.</w:t>
      </w:r>
    </w:p>
    <w:p>
      <w:pPr>
        <w:spacing w:after="0" w:line="112" w:lineRule="exact"/>
        <w:rPr>
          <w:rFonts w:ascii="Arial" w:cs="Arial" w:eastAsia="Arial" w:hAnsi="Arial"/>
          <w:sz w:val="16"/>
          <w:szCs w:val="16"/>
          <w:color w:val="auto"/>
        </w:rPr>
      </w:pPr>
    </w:p>
    <w:p>
      <w:pPr>
        <w:ind w:right="160" w:firstLine="464"/>
        <w:spacing w:after="0" w:line="268" w:lineRule="auto"/>
        <w:tabs>
          <w:tab w:leader="none" w:pos="71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Depositary will not (absent negligence, bad faith or breach of contract and general principle of agency) be subject to any potential liability under PRC laws for taking any action contemplated in the Deposit Agreement.</w:t>
      </w:r>
    </w:p>
    <w:p>
      <w:pPr>
        <w:spacing w:after="0" w:line="131" w:lineRule="exact"/>
        <w:rPr>
          <w:rFonts w:ascii="Arial" w:cs="Arial" w:eastAsia="Arial" w:hAnsi="Arial"/>
          <w:sz w:val="18"/>
          <w:szCs w:val="18"/>
          <w:color w:val="auto"/>
        </w:rPr>
      </w:pPr>
    </w:p>
    <w:p>
      <w:pPr>
        <w:ind w:right="20" w:firstLine="464"/>
        <w:spacing w:after="0" w:line="290" w:lineRule="auto"/>
        <w:tabs>
          <w:tab w:leader="none" w:pos="89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Nothing has come to our attention that leads us to believe that any part of a Registration Statement or any amendment thereto, as of its effective date or the date hereof, contained any untrue statement of a material fact or omitted to state any material fact required to be stated therein or necessary to make the statements therein not misleading or that the Final Prospectus or any amendment or supplement thereto, as of its issue date or as of the date hereof, contained any untrue statement of a material fact or omitted to state any material fact necessary in order to make the statements therein, in light of the circumstances under which they are made, not misleading; we have no reason to believe that the General Disclosure Package, as of the Applicable Time or as of the date hereof, contained any untrue statement of a material fact or omitted to state any material fact necessary in order to make the statements therein, in light of the circumstances under which they are made, not misleading.</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licensed to practise in the PRC and the foregoing opinion is limited to the PRC Laws currently in force and publicly available on the date of this opinion and is subject to the following qualifications:</w:t>
      </w:r>
    </w:p>
    <w:p>
      <w:pPr>
        <w:spacing w:after="0" w:line="51" w:lineRule="exact"/>
        <w:rPr>
          <w:sz w:val="20"/>
          <w:szCs w:val="20"/>
          <w:color w:val="auto"/>
        </w:rPr>
      </w:pPr>
    </w:p>
    <w:p>
      <w:pPr>
        <w:ind w:right="40" w:firstLine="464"/>
        <w:spacing w:after="0" w:line="332" w:lineRule="auto"/>
        <w:tabs>
          <w:tab w:leader="none" w:pos="69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We express no opinion as to any law other than the laws of the mainland territory of the PRC in force on the date of this opinion. In particular, we have made no investigations and we express no opinion as to the laws of the Special Administrative Regions of Hong Kong and Macao;</w:t>
      </w:r>
    </w:p>
    <w:p>
      <w:pPr>
        <w:sectPr>
          <w:pgSz w:w="11900" w:h="16838" w:orient="portrait"/>
          <w:cols w:equalWidth="0" w:num="1">
            <w:col w:w="11360"/>
          </w:cols>
          <w:pgMar w:left="240" w:top="280" w:right="299" w:bottom="1440" w:gutter="0" w:footer="0" w:header="0"/>
        </w:sectPr>
      </w:pPr>
    </w:p>
    <w:bookmarkStart w:id="349" w:name="page350"/>
    <w:bookmarkEnd w:id="349"/>
    <w:p>
      <w:pPr>
        <w:ind w:left="720" w:hanging="256"/>
        <w:spacing w:after="0"/>
        <w:tabs>
          <w:tab w:leader="none" w:pos="7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opinion is intended to be used in the context which is specifically referred to herein; and</w:t>
      </w:r>
    </w:p>
    <w:p>
      <w:pPr>
        <w:spacing w:after="0" w:line="171" w:lineRule="exact"/>
        <w:rPr>
          <w:rFonts w:ascii="Arial" w:cs="Arial" w:eastAsia="Arial" w:hAnsi="Arial"/>
          <w:sz w:val="18"/>
          <w:szCs w:val="18"/>
          <w:color w:val="auto"/>
        </w:rPr>
      </w:pPr>
    </w:p>
    <w:p>
      <w:pPr>
        <w:ind w:firstLine="464"/>
        <w:spacing w:after="0" w:line="332" w:lineRule="auto"/>
        <w:tabs>
          <w:tab w:leader="none" w:pos="69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PRC Laws referred to herein are laws currently in force and there is no guarantee that any of such laws, or the interpretation thereof or enforcement therefor, will not be changed, amended or replaced in the immediate future or in the longer term with or without retrospective effect.</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opinion is furnished to you, and is for your use in connection with the transactions set forth in the Registration Statement. This opinion may not be relied upon by you for any other purpose. However, this opinion may be relied upon by persons entitled to rely on it pursuant to applicable provisions of federal securities law.</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use of our name under the captions “Legal Matters,” “Risk Factors,” “Corporate Structure,” “Enforceability of Civil Liabilities” and “Regulations” in the prospectus included in the Registration Statement. In giving such consent, we do not thereby admit that we are within the category of persons whose consent is required under Section 7 of the U.S. Securities Act of 1933, as amended, or the rules or regulations of the Securities and Exchange Commission promulgated thereunder.</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TianYuan Law Firm</w:t>
      </w:r>
    </w:p>
    <w:p>
      <w:pPr>
        <w:sectPr>
          <w:pgSz w:w="11900" w:h="16838" w:orient="portrait"/>
          <w:cols w:equalWidth="0" w:num="1">
            <w:col w:w="11380"/>
          </w:cols>
          <w:pgMar w:left="240" w:top="280" w:right="279" w:bottom="1440" w:gutter="0" w:footer="0" w:header="0"/>
        </w:sectPr>
      </w:pPr>
    </w:p>
    <w:bookmarkStart w:id="350" w:name="page351"/>
    <w:bookmarkEnd w:id="350"/>
    <w:p>
      <w:pPr>
        <w:jc w:val="center"/>
        <w:ind w:right="-5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 — List of the Contracts</w:t>
      </w:r>
    </w:p>
    <w:p>
      <w:pPr>
        <w:spacing w:after="0" w:line="212" w:lineRule="exact"/>
        <w:rPr>
          <w:sz w:val="20"/>
          <w:szCs w:val="20"/>
          <w:color w:val="auto"/>
        </w:rPr>
      </w:pPr>
    </w:p>
    <w:p>
      <w:pPr>
        <w:ind w:left="452" w:hanging="452"/>
        <w:spacing w:after="0"/>
        <w:tabs>
          <w:tab w:leader="none" w:pos="45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Teaching Support Agreement</w:t>
      </w:r>
    </w:p>
    <w:p>
      <w:pPr>
        <w:spacing w:after="0" w:line="90" w:lineRule="exact"/>
        <w:rPr>
          <w:rFonts w:ascii="Arial" w:cs="Arial" w:eastAsia="Arial" w:hAnsi="Arial"/>
          <w:sz w:val="18"/>
          <w:szCs w:val="18"/>
          <w:color w:val="auto"/>
        </w:rPr>
      </w:pPr>
    </w:p>
    <w:p>
      <w:pPr>
        <w:ind w:left="772" w:right="240" w:hanging="326"/>
        <w:spacing w:after="0" w:line="268" w:lineRule="auto"/>
        <w:tabs>
          <w:tab w:leader="none" w:pos="77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Teaching Support Agreement dated as of April 25, 2005 and amended as of January 1, 2006 between Beijing Decision and Beijing Haidian District Private-Funded New Oriental School</w:t>
      </w:r>
    </w:p>
    <w:p>
      <w:pPr>
        <w:spacing w:after="0" w:line="50" w:lineRule="exact"/>
        <w:rPr>
          <w:rFonts w:ascii="Arial" w:cs="Arial" w:eastAsia="Arial" w:hAnsi="Arial"/>
          <w:sz w:val="18"/>
          <w:szCs w:val="18"/>
          <w:color w:val="auto"/>
        </w:rPr>
      </w:pPr>
    </w:p>
    <w:p>
      <w:pPr>
        <w:ind w:left="772" w:right="240" w:hanging="326"/>
        <w:spacing w:after="0" w:line="268" w:lineRule="auto"/>
        <w:tabs>
          <w:tab w:leader="none" w:pos="77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Teaching Support Agreement dated as of April 25, 2005 and amended as of January 1, 2006 between Beijing Decision and Shenyang New Oriental Foreign Language Training School</w:t>
      </w:r>
    </w:p>
    <w:p>
      <w:pPr>
        <w:spacing w:after="0" w:line="50" w:lineRule="exact"/>
        <w:rPr>
          <w:rFonts w:ascii="Arial" w:cs="Arial" w:eastAsia="Arial" w:hAnsi="Arial"/>
          <w:sz w:val="18"/>
          <w:szCs w:val="18"/>
          <w:color w:val="auto"/>
        </w:rPr>
      </w:pPr>
    </w:p>
    <w:p>
      <w:pPr>
        <w:ind w:left="772" w:hanging="326"/>
        <w:spacing w:after="0" w:line="268" w:lineRule="auto"/>
        <w:tabs>
          <w:tab w:leader="none" w:pos="77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Teaching Support Agreement dated as of April 25, 2005 and amended as of January 1, 2006 between Beijing Decision and Guangzhou Haizhu District Private-Funded New Oriental Training School</w:t>
      </w:r>
    </w:p>
    <w:p>
      <w:pPr>
        <w:spacing w:after="0" w:line="50" w:lineRule="exact"/>
        <w:rPr>
          <w:rFonts w:ascii="Arial" w:cs="Arial" w:eastAsia="Arial" w:hAnsi="Arial"/>
          <w:sz w:val="18"/>
          <w:szCs w:val="18"/>
          <w:color w:val="auto"/>
        </w:rPr>
      </w:pPr>
    </w:p>
    <w:p>
      <w:pPr>
        <w:ind w:left="772" w:right="440" w:hanging="326"/>
        <w:spacing w:after="0" w:line="268" w:lineRule="auto"/>
        <w:tabs>
          <w:tab w:leader="none" w:pos="77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Teaching Support Agreement dated as of April 25, 2005 and amended as of January 1, 2006 between Beijing Decision and Wuhan New Oriental Training School</w:t>
      </w:r>
    </w:p>
    <w:p>
      <w:pPr>
        <w:spacing w:after="0" w:line="50" w:lineRule="exact"/>
        <w:rPr>
          <w:rFonts w:ascii="Arial" w:cs="Arial" w:eastAsia="Arial" w:hAnsi="Arial"/>
          <w:sz w:val="18"/>
          <w:szCs w:val="18"/>
          <w:color w:val="auto"/>
        </w:rPr>
      </w:pPr>
    </w:p>
    <w:p>
      <w:pPr>
        <w:ind w:left="772" w:hanging="326"/>
        <w:spacing w:after="0"/>
        <w:tabs>
          <w:tab w:leader="none" w:pos="77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Teaching Support Agreement dated as of January 1, 2006 between Beijing Decision and Shenzhen New Oriental Training School</w:t>
      </w:r>
    </w:p>
    <w:p>
      <w:pPr>
        <w:spacing w:after="0" w:line="293" w:lineRule="exact"/>
        <w:rPr>
          <w:sz w:val="20"/>
          <w:szCs w:val="20"/>
          <w:color w:val="auto"/>
        </w:rPr>
      </w:pPr>
    </w:p>
    <w:p>
      <w:pPr>
        <w:ind w:left="452" w:hanging="452"/>
        <w:spacing w:after="0"/>
        <w:tabs>
          <w:tab w:leader="none" w:pos="45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Website Development and Use Agreement</w:t>
      </w:r>
    </w:p>
    <w:p>
      <w:pPr>
        <w:spacing w:after="0" w:line="90" w:lineRule="exact"/>
        <w:rPr>
          <w:rFonts w:ascii="Arial" w:cs="Arial" w:eastAsia="Arial" w:hAnsi="Arial"/>
          <w:sz w:val="18"/>
          <w:szCs w:val="18"/>
          <w:color w:val="auto"/>
        </w:rPr>
      </w:pPr>
    </w:p>
    <w:p>
      <w:pPr>
        <w:ind w:left="772" w:right="480" w:hanging="326"/>
        <w:spacing w:after="0" w:line="268" w:lineRule="auto"/>
        <w:tabs>
          <w:tab w:leader="none" w:pos="77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Website Development and Use Agreement dated as of April 25, 2005 and amended as of January 1, 2006 between Beijing Decision and Beijing Haidian District Private-Funded New Oriental School</w:t>
      </w:r>
    </w:p>
    <w:p>
      <w:pPr>
        <w:spacing w:after="0" w:line="50" w:lineRule="exact"/>
        <w:rPr>
          <w:rFonts w:ascii="Arial" w:cs="Arial" w:eastAsia="Arial" w:hAnsi="Arial"/>
          <w:sz w:val="18"/>
          <w:szCs w:val="18"/>
          <w:color w:val="auto"/>
        </w:rPr>
      </w:pPr>
    </w:p>
    <w:p>
      <w:pPr>
        <w:ind w:left="772" w:right="200" w:hanging="326"/>
        <w:spacing w:after="0" w:line="268" w:lineRule="auto"/>
        <w:tabs>
          <w:tab w:leader="none" w:pos="77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Website Development and Use Agreement dated as of April 25, 2005 and amended as of January 1, 2006 between Beijing Decision and Guangzhou Haizhu District Private-Funded New Oriental Training School</w:t>
      </w:r>
    </w:p>
    <w:p>
      <w:pPr>
        <w:spacing w:after="0" w:line="50" w:lineRule="exact"/>
        <w:rPr>
          <w:rFonts w:ascii="Arial" w:cs="Arial" w:eastAsia="Arial" w:hAnsi="Arial"/>
          <w:sz w:val="18"/>
          <w:szCs w:val="18"/>
          <w:color w:val="auto"/>
        </w:rPr>
      </w:pPr>
    </w:p>
    <w:p>
      <w:pPr>
        <w:ind w:left="772" w:right="340" w:hanging="326"/>
        <w:spacing w:after="0" w:line="268" w:lineRule="auto"/>
        <w:tabs>
          <w:tab w:leader="none" w:pos="77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Website Development and Use Agreement dated as of April 25, 2005 and amended as of January 1, 2006 between Beijing Decision and Shanghai Yangpu District New Oriental Advanced Study School</w:t>
      </w:r>
    </w:p>
    <w:p>
      <w:pPr>
        <w:spacing w:after="0" w:line="50" w:lineRule="exact"/>
        <w:rPr>
          <w:rFonts w:ascii="Arial" w:cs="Arial" w:eastAsia="Arial" w:hAnsi="Arial"/>
          <w:sz w:val="18"/>
          <w:szCs w:val="18"/>
          <w:color w:val="auto"/>
        </w:rPr>
      </w:pPr>
    </w:p>
    <w:p>
      <w:pPr>
        <w:ind w:left="772" w:right="300" w:hanging="326"/>
        <w:spacing w:after="0" w:line="268" w:lineRule="auto"/>
        <w:tabs>
          <w:tab w:leader="none" w:pos="77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Website Development and Use Agreement dated as of April 25, 2005 and amended as of January 1, 2006 between Beijing Decision and Shenyang New Oriental Foreign Language Training School</w:t>
      </w:r>
    </w:p>
    <w:p>
      <w:pPr>
        <w:spacing w:after="0" w:line="50" w:lineRule="exact"/>
        <w:rPr>
          <w:rFonts w:ascii="Arial" w:cs="Arial" w:eastAsia="Arial" w:hAnsi="Arial"/>
          <w:sz w:val="18"/>
          <w:szCs w:val="18"/>
          <w:color w:val="auto"/>
        </w:rPr>
      </w:pPr>
    </w:p>
    <w:p>
      <w:pPr>
        <w:ind w:left="772" w:right="120" w:hanging="326"/>
        <w:spacing w:after="0" w:line="268" w:lineRule="auto"/>
        <w:tabs>
          <w:tab w:leader="none" w:pos="77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Website Development and Use Agreement dated as of April 25, 2005 and amended as of January 1, 2006 between Beijing Decision and Wuhan New Oriental Training School</w:t>
      </w:r>
    </w:p>
    <w:p>
      <w:pPr>
        <w:spacing w:after="0" w:line="254" w:lineRule="exact"/>
        <w:rPr>
          <w:sz w:val="20"/>
          <w:szCs w:val="20"/>
          <w:color w:val="auto"/>
        </w:rPr>
      </w:pPr>
    </w:p>
    <w:p>
      <w:pPr>
        <w:ind w:left="452" w:hanging="452"/>
        <w:spacing w:after="0"/>
        <w:tabs>
          <w:tab w:leader="none" w:pos="45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New Enrollment System Development Service Agreement</w:t>
      </w:r>
    </w:p>
    <w:p>
      <w:pPr>
        <w:spacing w:after="0" w:line="90" w:lineRule="exact"/>
        <w:rPr>
          <w:rFonts w:ascii="Arial" w:cs="Arial" w:eastAsia="Arial" w:hAnsi="Arial"/>
          <w:sz w:val="18"/>
          <w:szCs w:val="18"/>
          <w:color w:val="auto"/>
        </w:rPr>
      </w:pPr>
    </w:p>
    <w:p>
      <w:pPr>
        <w:ind w:left="772" w:right="220" w:hanging="326"/>
        <w:spacing w:after="0" w:line="268" w:lineRule="auto"/>
        <w:tabs>
          <w:tab w:leader="none" w:pos="772" w:val="left"/>
        </w:tabs>
        <w:numPr>
          <w:ilvl w:val="1"/>
          <w:numId w:val="310"/>
        </w:numPr>
        <w:rPr>
          <w:rFonts w:ascii="Arial" w:cs="Arial" w:eastAsia="Arial" w:hAnsi="Arial"/>
          <w:sz w:val="18"/>
          <w:szCs w:val="18"/>
          <w:color w:val="auto"/>
        </w:rPr>
      </w:pPr>
      <w:r>
        <w:rPr>
          <w:rFonts w:ascii="Arial" w:cs="Arial" w:eastAsia="Arial" w:hAnsi="Arial"/>
          <w:sz w:val="18"/>
          <w:szCs w:val="18"/>
          <w:color w:val="auto"/>
        </w:rPr>
        <w:t>New Enrollment System Development Service Agreement dated as of April 25, 2005 and amended as of January 1, 2006 between Beijing Decision and Beijing Haidian District Private-Funded New Oriental School</w:t>
      </w:r>
    </w:p>
    <w:p>
      <w:pPr>
        <w:spacing w:after="0" w:line="50" w:lineRule="exact"/>
        <w:rPr>
          <w:rFonts w:ascii="Arial" w:cs="Arial" w:eastAsia="Arial" w:hAnsi="Arial"/>
          <w:sz w:val="18"/>
          <w:szCs w:val="18"/>
          <w:color w:val="auto"/>
        </w:rPr>
      </w:pPr>
    </w:p>
    <w:p>
      <w:pPr>
        <w:ind w:left="772" w:right="220" w:hanging="326"/>
        <w:spacing w:after="0" w:line="268" w:lineRule="auto"/>
        <w:tabs>
          <w:tab w:leader="none" w:pos="772" w:val="left"/>
        </w:tabs>
        <w:numPr>
          <w:ilvl w:val="1"/>
          <w:numId w:val="310"/>
        </w:numPr>
        <w:rPr>
          <w:rFonts w:ascii="Arial" w:cs="Arial" w:eastAsia="Arial" w:hAnsi="Arial"/>
          <w:sz w:val="18"/>
          <w:szCs w:val="18"/>
          <w:color w:val="auto"/>
        </w:rPr>
      </w:pPr>
      <w:r>
        <w:rPr>
          <w:rFonts w:ascii="Arial" w:cs="Arial" w:eastAsia="Arial" w:hAnsi="Arial"/>
          <w:sz w:val="18"/>
          <w:szCs w:val="18"/>
          <w:color w:val="auto"/>
        </w:rPr>
        <w:t>New Enrollment System Development Service Agreement dated as of April 25, 2005 and amended as of January 1, 2006 between Beijing Decision and Guangzhou Haizhu District Private-Funded New Oriental Training School</w:t>
      </w:r>
    </w:p>
    <w:p>
      <w:pPr>
        <w:sectPr>
          <w:pgSz w:w="11900" w:h="16838" w:orient="portrait"/>
          <w:cols w:equalWidth="0" w:num="1">
            <w:col w:w="11352"/>
          </w:cols>
          <w:pgMar w:left="248" w:top="279" w:right="299" w:bottom="1440" w:gutter="0" w:footer="0" w:header="0"/>
        </w:sectPr>
      </w:pPr>
    </w:p>
    <w:bookmarkStart w:id="351" w:name="page352"/>
    <w:bookmarkEnd w:id="351"/>
    <w:p>
      <w:pPr>
        <w:ind w:left="780" w:right="260" w:hanging="326"/>
        <w:spacing w:after="0" w:line="268" w:lineRule="auto"/>
        <w:tabs>
          <w:tab w:leader="none" w:pos="7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Enrollment System Development Service Agreement dated as of April 25, 2005 and amended as of January 1, 2006 between Beijing Decision and Shanghai Yangpu District New Oriental Advanced Study School</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New Enrollment System Development Service Agreement dated as of April 25, 2005 and amended as of January 1, 2006 between Beijing Decision and Shenyang New Oriental Foreign Language Training School</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New Enrollment System Development Service Agreement dated as of April 25, 2005 and amended as of January 1, 2006 between Beijing Decision and Wuhan New Oriental Training School</w:t>
      </w:r>
    </w:p>
    <w:p>
      <w:pPr>
        <w:spacing w:after="0" w:line="2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IV.</w:t>
        <w:tab/>
        <w:t>Trademark License Agreement</w:t>
      </w:r>
    </w:p>
    <w:p>
      <w:pPr>
        <w:spacing w:after="0" w:line="90" w:lineRule="exact"/>
        <w:rPr>
          <w:sz w:val="20"/>
          <w:szCs w:val="20"/>
          <w:color w:val="auto"/>
        </w:rPr>
      </w:pPr>
    </w:p>
    <w:p>
      <w:pPr>
        <w:ind w:left="780" w:hanging="326"/>
        <w:spacing w:after="0"/>
        <w:tabs>
          <w:tab w:leader="none" w:pos="7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Trademark License Agreement dated as of May 13 2006 between New Oriental Education &amp; Technology Group Inc. and New Oriental China</w:t>
      </w:r>
    </w:p>
    <w:p>
      <w:pPr>
        <w:spacing w:after="0" w:line="40"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 xml:space="preserve">regarding the license of trademark “ </w:t>
      </w:r>
      <w:r>
        <w:rPr>
          <w:rFonts w:ascii="Arial" w:cs="Arial" w:eastAsia="Arial" w:hAnsi="Arial"/>
          <w:sz w:val="1"/>
          <w:szCs w:val="1"/>
          <w:color w:val="auto"/>
        </w:rPr>
        <w:drawing>
          <wp:inline distT="0" distB="0" distL="0" distR="0">
            <wp:extent cx="428625" cy="146050"/>
            <wp:effectExtent l="0" t="0" r="0" b="0"/>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428625" cy="146050"/>
                    </a:xfrm>
                    <a:prstGeom prst="rect">
                      <a:avLst/>
                    </a:prstGeom>
                    <a:noFill/>
                    <a:ln>
                      <a:noFill/>
                    </a:ln>
                  </pic:spPr>
                </pic:pic>
              </a:graphicData>
            </a:graphic>
          </wp:inline>
        </w:drawing>
      </w:r>
      <w:r>
        <w:rPr>
          <w:rFonts w:ascii="Arial" w:cs="Arial" w:eastAsia="Arial" w:hAnsi="Arial"/>
          <w:sz w:val="18"/>
          <w:szCs w:val="18"/>
          <w:color w:val="auto"/>
        </w:rPr>
        <w:t>”</w:t>
      </w:r>
    </w:p>
    <w:p>
      <w:pPr>
        <w:spacing w:after="0" w:line="88" w:lineRule="exact"/>
        <w:rPr>
          <w:rFonts w:ascii="Arial" w:cs="Arial" w:eastAsia="Arial" w:hAnsi="Arial"/>
          <w:sz w:val="16"/>
          <w:szCs w:val="16"/>
          <w:color w:val="auto"/>
        </w:rPr>
      </w:pPr>
    </w:p>
    <w:p>
      <w:pPr>
        <w:ind w:left="780" w:hanging="326"/>
        <w:spacing w:after="0"/>
        <w:tabs>
          <w:tab w:leader="none" w:pos="7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Trademark License Agreement dated as of May 13 2006 between New Oriental Education &amp; Technology Group Inc. and New Oriental China</w:t>
      </w:r>
    </w:p>
    <w:p>
      <w:pPr>
        <w:spacing w:after="0" w:line="40"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 xml:space="preserve">regarding the license of trademark “ </w:t>
      </w:r>
      <w:r>
        <w:rPr>
          <w:rFonts w:ascii="Arial" w:cs="Arial" w:eastAsia="Arial" w:hAnsi="Arial"/>
          <w:sz w:val="1"/>
          <w:szCs w:val="1"/>
          <w:color w:val="auto"/>
        </w:rPr>
        <w:drawing>
          <wp:inline distT="0" distB="0" distL="0" distR="0">
            <wp:extent cx="720090" cy="154305"/>
            <wp:effectExtent l="0" t="0" r="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0090" cy="154305"/>
                    </a:xfrm>
                    <a:prstGeom prst="rect">
                      <a:avLst/>
                    </a:prstGeom>
                    <a:noFill/>
                    <a:ln>
                      <a:noFill/>
                    </a:ln>
                  </pic:spPr>
                </pic:pic>
              </a:graphicData>
            </a:graphic>
          </wp:inline>
        </w:drawing>
      </w:r>
      <w:r>
        <w:rPr>
          <w:rFonts w:ascii="Arial" w:cs="Arial" w:eastAsia="Arial" w:hAnsi="Arial"/>
          <w:sz w:val="18"/>
          <w:szCs w:val="18"/>
          <w:color w:val="auto"/>
        </w:rPr>
        <w:t>”</w:t>
      </w:r>
    </w:p>
    <w:p>
      <w:pPr>
        <w:spacing w:after="0" w:line="88" w:lineRule="exact"/>
        <w:rPr>
          <w:rFonts w:ascii="Arial" w:cs="Arial" w:eastAsia="Arial" w:hAnsi="Arial"/>
          <w:sz w:val="16"/>
          <w:szCs w:val="16"/>
          <w:color w:val="auto"/>
        </w:rPr>
      </w:pPr>
    </w:p>
    <w:p>
      <w:pPr>
        <w:ind w:left="780" w:hanging="326"/>
        <w:spacing w:after="0"/>
        <w:tabs>
          <w:tab w:leader="none" w:pos="7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Trademark License Agreement dated as of May 13 2006 between New Oriental Education &amp; Technology Group Inc. and Beijing Hewstone regarding</w:t>
      </w:r>
    </w:p>
    <w:p>
      <w:pPr>
        <w:spacing w:after="0" w:line="40"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 xml:space="preserve">the license of trademark “ </w:t>
      </w:r>
      <w:r>
        <w:rPr>
          <w:rFonts w:ascii="Arial" w:cs="Arial" w:eastAsia="Arial" w:hAnsi="Arial"/>
          <w:sz w:val="1"/>
          <w:szCs w:val="1"/>
          <w:color w:val="auto"/>
        </w:rPr>
        <w:drawing>
          <wp:inline distT="0" distB="0" distL="0" distR="0">
            <wp:extent cx="428625" cy="146050"/>
            <wp:effectExtent l="0" t="0" r="0" b="0"/>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428625" cy="146050"/>
                    </a:xfrm>
                    <a:prstGeom prst="rect">
                      <a:avLst/>
                    </a:prstGeom>
                    <a:noFill/>
                    <a:ln>
                      <a:noFill/>
                    </a:ln>
                  </pic:spPr>
                </pic:pic>
              </a:graphicData>
            </a:graphic>
          </wp:inline>
        </w:drawing>
      </w:r>
      <w:r>
        <w:rPr>
          <w:rFonts w:ascii="Arial" w:cs="Arial" w:eastAsia="Arial" w:hAnsi="Arial"/>
          <w:sz w:val="18"/>
          <w:szCs w:val="18"/>
          <w:color w:val="auto"/>
        </w:rPr>
        <w:t>”</w:t>
      </w:r>
    </w:p>
    <w:p>
      <w:pPr>
        <w:spacing w:after="0" w:line="88" w:lineRule="exact"/>
        <w:rPr>
          <w:rFonts w:ascii="Arial" w:cs="Arial" w:eastAsia="Arial" w:hAnsi="Arial"/>
          <w:sz w:val="16"/>
          <w:szCs w:val="16"/>
          <w:color w:val="auto"/>
        </w:rPr>
      </w:pPr>
    </w:p>
    <w:p>
      <w:pPr>
        <w:ind w:left="780" w:hanging="326"/>
        <w:spacing w:after="0"/>
        <w:tabs>
          <w:tab w:leader="none" w:pos="7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Trademark License Agreement dated as of May 13 2006 between New Oriental Education &amp; Technology Group Inc. and Beijing Hewstone regarding</w:t>
      </w:r>
    </w:p>
    <w:p>
      <w:pPr>
        <w:spacing w:after="0" w:line="40"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 xml:space="preserve">the license of trademark “ </w:t>
      </w:r>
      <w:r>
        <w:rPr>
          <w:rFonts w:ascii="Arial" w:cs="Arial" w:eastAsia="Arial" w:hAnsi="Arial"/>
          <w:sz w:val="1"/>
          <w:szCs w:val="1"/>
          <w:color w:val="auto"/>
        </w:rPr>
        <w:drawing>
          <wp:inline distT="0" distB="0" distL="0" distR="0">
            <wp:extent cx="720090" cy="154305"/>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0090" cy="154305"/>
                    </a:xfrm>
                    <a:prstGeom prst="rect">
                      <a:avLst/>
                    </a:prstGeom>
                    <a:noFill/>
                    <a:ln>
                      <a:noFill/>
                    </a:ln>
                  </pic:spPr>
                </pic:pic>
              </a:graphicData>
            </a:graphic>
          </wp:inline>
        </w:drawing>
      </w:r>
      <w:r>
        <w:rPr>
          <w:rFonts w:ascii="Arial" w:cs="Arial" w:eastAsia="Arial" w:hAnsi="Arial"/>
          <w:sz w:val="18"/>
          <w:szCs w:val="18"/>
          <w:color w:val="auto"/>
        </w:rPr>
        <w:t>”</w:t>
      </w:r>
    </w:p>
    <w:p>
      <w:pPr>
        <w:spacing w:after="0" w:line="88" w:lineRule="exact"/>
        <w:rPr>
          <w:rFonts w:ascii="Arial" w:cs="Arial" w:eastAsia="Arial" w:hAnsi="Arial"/>
          <w:sz w:val="16"/>
          <w:szCs w:val="16"/>
          <w:color w:val="auto"/>
        </w:rPr>
      </w:pPr>
    </w:p>
    <w:p>
      <w:pPr>
        <w:ind w:left="780" w:hanging="326"/>
        <w:spacing w:after="0"/>
        <w:tabs>
          <w:tab w:leader="none" w:pos="7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Trademark License Agreement dated as of May 13, 2006 between Beijing Hewstone and Beijing Haidian District Private-Funded New Oriental School</w:t>
      </w:r>
    </w:p>
    <w:p>
      <w:pPr>
        <w:spacing w:after="0" w:line="113"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Trademark License Agreement dated as of May 13, 2006 between Beijing Hewstone and Beijing new Oriental Dogwood Book, Audio &amp; Video Co., Ltd.</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Trademark License Agreement dated as of May 13, 2006 between Beijing Hewstone and Beijing New Oriental Dogwood Cultural Communications Co., Ltd.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Trademark License Agreement dated as of May 13, 2006 between Beijing Hewstone and New Oriental Foreign Language Training School</w:t>
      </w:r>
    </w:p>
    <w:p>
      <w:pPr>
        <w:spacing w:after="0" w:line="113" w:lineRule="exact"/>
        <w:rPr>
          <w:rFonts w:ascii="Arial" w:cs="Arial" w:eastAsia="Arial" w:hAnsi="Arial"/>
          <w:sz w:val="16"/>
          <w:szCs w:val="16"/>
          <w:color w:val="auto"/>
        </w:rPr>
      </w:pPr>
    </w:p>
    <w:p>
      <w:pPr>
        <w:ind w:left="780" w:right="320" w:hanging="326"/>
        <w:spacing w:after="0" w:line="268" w:lineRule="auto"/>
        <w:tabs>
          <w:tab w:leader="none" w:pos="7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Trademark License Agreement dated as of May 13, 2006 between Beijing Hewstone and Shanghai Yangpu District New Oriental Advanced Study School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Trademark License Agreement dated as of May 13, 2006 between Beijing Hewstone and Wuhan New Oriental Training School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Trademark License Agreement dated as of May 13, 2006 between Beijing Hewstone and Xiangfan New Oriental Training School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Trademark License Agreement dated as of May 13, 2006 between Beijing Hewstone and Shenzhen New Oriental Training School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Trademark License Agreement dated as of May 13, 2006 between Beijing Hewstone and Beijing New Oriental International Preparatory School</w:t>
      </w:r>
    </w:p>
    <w:p>
      <w:pPr>
        <w:sectPr>
          <w:pgSz w:w="11900" w:h="16838" w:orient="portrait"/>
          <w:cols w:equalWidth="0" w:num="1">
            <w:col w:w="11400"/>
          </w:cols>
          <w:pgMar w:left="240" w:top="280" w:right="259" w:bottom="1440" w:gutter="0" w:footer="0" w:header="0"/>
        </w:sectPr>
      </w:pPr>
    </w:p>
    <w:bookmarkStart w:id="352" w:name="page353"/>
    <w:bookmarkEnd w:id="352"/>
    <w:p>
      <w:pPr>
        <w:ind w:left="460" w:hanging="452"/>
        <w:spacing w:after="0"/>
        <w:tabs>
          <w:tab w:leader="none" w:pos="4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Domain Name License Agreement</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Domain Name Transfer Agreement dated December 12, 2004 between Beijing Haidian District Private-Funded New Oriental School and New Oriental Education &amp; Technology Group Inc.</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Domain Name License Agreement dated as of March 25, 2006 between New Oriental Education &amp; Technology Group Inc. and New Oriental China.</w:t>
      </w:r>
    </w:p>
    <w:p>
      <w:pPr>
        <w:spacing w:after="0" w:line="3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VI.</w:t>
        <w:tab/>
        <w:t>Lease Agreement</w:t>
      </w:r>
    </w:p>
    <w:p>
      <w:pPr>
        <w:spacing w:after="0" w:line="90" w:lineRule="exact"/>
        <w:rPr>
          <w:sz w:val="20"/>
          <w:szCs w:val="20"/>
          <w:color w:val="auto"/>
        </w:rPr>
      </w:pPr>
    </w:p>
    <w:p>
      <w:pPr>
        <w:ind w:left="780" w:hanging="326"/>
        <w:spacing w:after="0"/>
        <w:tabs>
          <w:tab w:leader="none" w:pos="7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Building Lease Agreement dated as of July 1, 2005 between Beijing Judgment as the landlord and Tianjin New Oriental Training School as the lessee</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Building Lease Agreement dated as of February 5, 2006 between New Oriental China as the landlord and Beijing Haidian District Private-Funded New Oriental School as the lessee</w:t>
      </w:r>
    </w:p>
    <w:p>
      <w:pPr>
        <w:spacing w:after="0" w:line="5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Building Lease Agreement dated as of March 1, 2006 between New Oriental China as the landlord and Shanghai Dogwood Book, Audio &amp; Video Co., Ltd. as the lessee</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Building Lease Agreement dated as of March 1, 2006 between New Oriental China as the landlord and Beijing New Oriental Dogwood Cultural Communications Co., Ltd. as the lessee</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Building Lease Agreement dated as of October 17, 2005 between New Oriental China and Beijing New Oriental Xuncheng Net work &amp; Technology Co., Ltd.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Building Lease Agreement dated as of April 30, 2005 between New Oriental China as the landlord and Beijing Hewstone as the lessee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Building Lease Agreement dated as of April 30, 2005 between New Oriental China as the landlord and Beijing Decision as the lessee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Building Lease Agreement dated as of April 30, 2005 between New Oriental China as the landlord and Beijing Judgment as the lessee</w:t>
      </w:r>
    </w:p>
    <w:p>
      <w:pPr>
        <w:spacing w:after="0" w:line="3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6"/>
          <w:szCs w:val="16"/>
          <w:color w:val="auto"/>
        </w:rPr>
        <w:t>Commercial Loan and Mortgage Agreement</w:t>
      </w:r>
    </w:p>
    <w:p>
      <w:pPr>
        <w:spacing w:after="0" w:line="90" w:lineRule="exact"/>
        <w:rPr>
          <w:sz w:val="20"/>
          <w:szCs w:val="20"/>
          <w:color w:val="auto"/>
        </w:rPr>
      </w:pPr>
    </w:p>
    <w:p>
      <w:pPr>
        <w:ind w:left="780" w:right="60" w:hanging="326"/>
        <w:spacing w:after="0" w:line="268" w:lineRule="auto"/>
        <w:tabs>
          <w:tab w:leader="none" w:pos="7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Loan Agreement dated as of December 3, 2003 between Yangzhou New Oriental Education &amp; Technology Co., Ltd. and the Bank of Communications Yangzhou Branch</w:t>
      </w:r>
    </w:p>
    <w:p>
      <w:pPr>
        <w:spacing w:after="0" w:line="50" w:lineRule="exact"/>
        <w:rPr>
          <w:rFonts w:ascii="Arial" w:cs="Arial" w:eastAsia="Arial" w:hAnsi="Arial"/>
          <w:sz w:val="18"/>
          <w:szCs w:val="18"/>
          <w:color w:val="auto"/>
        </w:rPr>
      </w:pPr>
    </w:p>
    <w:p>
      <w:pPr>
        <w:ind w:left="780" w:right="1200" w:hanging="326"/>
        <w:spacing w:after="0" w:line="268" w:lineRule="auto"/>
        <w:tabs>
          <w:tab w:leader="none" w:pos="7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Loan Agreement dated as of September 29, 2002 between Yangzhou New Oriental Education &amp; Technology Co., Ltd. and the Bank of Communications Yangzhou Branch</w:t>
      </w:r>
    </w:p>
    <w:p>
      <w:pPr>
        <w:spacing w:after="0" w:line="5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Land Use Right Mortgage Agreement dated as of September 29, 2002 between Yangzhou New Oriental Education &amp; Technology Co., Ltd. and the Bank of Communications Yangzhou Branch</w:t>
      </w:r>
    </w:p>
    <w:p>
      <w:pPr>
        <w:spacing w:after="0" w:line="5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Building Mortgage and Loan Agreement dated as of March 31, 2005 between New Oriental China and China Minsheng Banking Corporation Ltd. Beijing Hepingli Branch</w:t>
      </w:r>
    </w:p>
    <w:p>
      <w:pPr>
        <w:sectPr>
          <w:pgSz w:w="11900" w:h="16838" w:orient="portrait"/>
          <w:cols w:equalWidth="0" w:num="1">
            <w:col w:w="11420"/>
          </w:cols>
          <w:pgMar w:left="240" w:top="279" w:right="239" w:bottom="1440" w:gutter="0" w:footer="0" w:header="0"/>
        </w:sectPr>
      </w:pPr>
    </w:p>
    <w:bookmarkStart w:id="353" w:name="page354"/>
    <w:bookmarkEnd w:id="353"/>
    <w:p>
      <w:pPr>
        <w:ind w:left="780" w:hanging="326"/>
        <w:spacing w:after="0" w:line="268" w:lineRule="auto"/>
        <w:tabs>
          <w:tab w:leader="none" w:pos="7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Credit Facility Agreement dated as of February 5, 2006 between Beijing Haidian District Private-Funded New Oriental School and the Bank of Beijing Co., Ltd. Haidian Road Sub-branch</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Maximum Amount Guarantee Agreement dated as of February 5, 2006 between Minhong Yu and the Bank of Beijing Co., Ltd. Haidian Road Sub-branch</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Maximum Amount Guarantee Agreement dated as of February 5, 2006 between New Oriental China and the Bank of Beijing Co., Ltd. Haidian Road Sub-branch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VIII. Exclusive Option Agreement</w:t>
      </w:r>
    </w:p>
    <w:p>
      <w:pPr>
        <w:spacing w:after="0" w:line="90" w:lineRule="exact"/>
        <w:rPr>
          <w:sz w:val="20"/>
          <w:szCs w:val="20"/>
          <w:color w:val="auto"/>
        </w:rPr>
      </w:pPr>
    </w:p>
    <w:p>
      <w:pPr>
        <w:ind w:left="780" w:right="300" w:hanging="326"/>
        <w:spacing w:after="0" w:line="268" w:lineRule="auto"/>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Option Agreement dated as of May 25, 2006 among New Oriental Education &amp; Technology Group Inc., Beijing Hongcai Education &amp; Technology Co., Ltd. and New Oriental China</w:t>
      </w:r>
    </w:p>
    <w:p>
      <w:pPr>
        <w:spacing w:after="0" w:line="50" w:lineRule="exact"/>
        <w:rPr>
          <w:rFonts w:ascii="Arial" w:cs="Arial" w:eastAsia="Arial" w:hAnsi="Arial"/>
          <w:sz w:val="18"/>
          <w:szCs w:val="18"/>
          <w:color w:val="auto"/>
        </w:rPr>
      </w:pPr>
    </w:p>
    <w:p>
      <w:pPr>
        <w:ind w:left="780" w:right="900" w:hanging="326"/>
        <w:spacing w:after="0" w:line="268" w:lineRule="auto"/>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Option Agreement dated as of May 25, 2006 among New Oriental Education &amp; Technology Group Inc., Beijing Tian Yi Yang Technology Development Co., Ltd. and New Oriental China</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Option Agreement dated as of December 22, 2004 among New Oriental Education &amp; Technology Group Inc., Beijing Beizhi Culture &amp; Education Co., Ltd. and New Oriental China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Option Agreement dated as of December 22, 2004 among New Oriental Education &amp; Technology Group Inc., Fanyi Bao and New Oriental China</w:t>
      </w:r>
    </w:p>
    <w:p>
      <w:pPr>
        <w:spacing w:after="0" w:line="113" w:lineRule="exact"/>
        <w:rPr>
          <w:rFonts w:ascii="Arial" w:cs="Arial" w:eastAsia="Arial" w:hAnsi="Arial"/>
          <w:sz w:val="16"/>
          <w:szCs w:val="16"/>
          <w:color w:val="auto"/>
        </w:rPr>
      </w:pPr>
    </w:p>
    <w:p>
      <w:pPr>
        <w:ind w:left="780" w:right="540" w:hanging="326"/>
        <w:spacing w:after="0" w:line="268" w:lineRule="auto"/>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Option Agreement dated as of December 22, 2004 among New Oriental Education &amp; Technology Group Inc., Beijing Jin Mu Tu Technology &amp; Trading Co., Ltd. and New Oriental China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Option Agreement dated as of December 22, 2004 among New Oriental Education &amp; Technology Group Inc., Xiaoping Xu and New Oriental China</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Option Agreement dated as of December 22, 2004 among New Oriental Education &amp; Technology Group Inc, Qingquan He and New Oriental China</w:t>
      </w:r>
    </w:p>
    <w:p>
      <w:pPr>
        <w:spacing w:after="0" w:line="113" w:lineRule="exact"/>
        <w:rPr>
          <w:rFonts w:ascii="Arial" w:cs="Arial" w:eastAsia="Arial" w:hAnsi="Arial"/>
          <w:sz w:val="16"/>
          <w:szCs w:val="16"/>
          <w:color w:val="auto"/>
        </w:rPr>
      </w:pPr>
    </w:p>
    <w:p>
      <w:pPr>
        <w:ind w:left="780" w:right="220" w:hanging="326"/>
        <w:spacing w:after="0" w:line="268" w:lineRule="auto"/>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Option Agreement dated as of December 22, 2004 among New Oriental Education &amp; Technology Group Inc., Qingdao Feixiang Language Services Co., Ltd. and New Oriental China</w:t>
      </w:r>
    </w:p>
    <w:p>
      <w:pPr>
        <w:spacing w:after="0" w:line="5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Option Agreement dated as of December 22, 2004 among New Oriental Education &amp; Technology Group Inc., Yongqiang Qian and New Oriental China</w:t>
      </w:r>
    </w:p>
    <w:p>
      <w:pPr>
        <w:spacing w:after="0" w:line="50" w:lineRule="exact"/>
        <w:rPr>
          <w:rFonts w:ascii="Arial" w:cs="Arial" w:eastAsia="Arial" w:hAnsi="Arial"/>
          <w:sz w:val="18"/>
          <w:szCs w:val="18"/>
          <w:color w:val="auto"/>
        </w:rPr>
      </w:pPr>
    </w:p>
    <w:p>
      <w:pPr>
        <w:ind w:left="780" w:right="740" w:hanging="326"/>
        <w:spacing w:after="0" w:line="268" w:lineRule="auto"/>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Option Agreement dated as of December 22, 2004 among New Oriental Education &amp; Technology Group Inc., Beijing Jinfan Fengdu Culture Development Co., Ltd. and New Oriental China</w:t>
      </w:r>
    </w:p>
    <w:p>
      <w:pPr>
        <w:spacing w:after="0" w:line="50" w:lineRule="exact"/>
        <w:rPr>
          <w:rFonts w:ascii="Arial" w:cs="Arial" w:eastAsia="Arial" w:hAnsi="Arial"/>
          <w:sz w:val="18"/>
          <w:szCs w:val="18"/>
          <w:color w:val="auto"/>
        </w:rPr>
      </w:pPr>
    </w:p>
    <w:p>
      <w:pPr>
        <w:ind w:left="780" w:right="640" w:hanging="326"/>
        <w:spacing w:after="0" w:line="268" w:lineRule="auto"/>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Option Agreement dated as of December 22, 2004 among New Oriental Education &amp; Technology Group Inc., Beijing Shiji Youhao Education Investment Co., Ltd. and New Oriental China</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Amendment Option Agreement dated as of May 25, 2006 among New Oriental Education &amp; Technology Group Inc., New Oriental China and New Oriental China schools.</w:t>
      </w:r>
    </w:p>
    <w:p>
      <w:pPr>
        <w:sectPr>
          <w:pgSz w:w="11900" w:h="16838" w:orient="portrait"/>
          <w:cols w:equalWidth="0" w:num="1">
            <w:col w:w="11400"/>
          </w:cols>
          <w:pgMar w:left="240" w:top="280" w:right="259" w:bottom="1440" w:gutter="0" w:footer="0" w:header="0"/>
        </w:sectPr>
      </w:pPr>
    </w:p>
    <w:bookmarkStart w:id="354" w:name="page355"/>
    <w:bookmarkEnd w:id="35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IX.</w:t>
        <w:tab/>
        <w:t>Equity Pledge Agreement</w:t>
      </w:r>
    </w:p>
    <w:p>
      <w:pPr>
        <w:spacing w:after="0" w:line="90" w:lineRule="exact"/>
        <w:rPr>
          <w:sz w:val="20"/>
          <w:szCs w:val="20"/>
          <w:color w:val="auto"/>
        </w:rPr>
      </w:pPr>
    </w:p>
    <w:p>
      <w:pPr>
        <w:ind w:left="780" w:hanging="326"/>
        <w:spacing w:after="0" w:line="255" w:lineRule="auto"/>
        <w:tabs>
          <w:tab w:leader="none" w:pos="7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Equity Pledge Agreement dated as of May 25, 2006 among New Oriental Education &amp; Technology Group Inc., Beijing Decision and Beijing Hewstone and the shareholders of New Oriental China including Xiaoping Xu, Fanyi Bao, Yongqiang Qian, Qingquan He, Beijing Jinfan Fengdu Culture Development Co., Ltd., Beijing Shiji Youhao Education Investment Co., Ltd., Beijing Hongcai Education &amp; Technology Co., Ltd., Qingdao Feixiang Language Services Co., Ltd., Beijing Tian Yi Yang Technology Development Co., Ltd., Beijing Jin Mu Tu Technology &amp; Trading Co., Ltd. and Beijing Beizhi Culture &amp; Education Co., Ltd.</w:t>
      </w:r>
    </w:p>
    <w:p>
      <w:pPr>
        <w:sectPr>
          <w:pgSz w:w="11900" w:h="16838" w:orient="portrait"/>
          <w:cols w:equalWidth="0" w:num="1">
            <w:col w:w="11240"/>
          </w:cols>
          <w:pgMar w:left="240" w:top="280" w:right="41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II — Details of the Chinese Entities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Name of the Company</w:t>
            </w:r>
          </w:p>
        </w:tc>
        <w:tc>
          <w:tcPr>
            <w:tcW w:w="220" w:type="dxa"/>
            <w:vAlign w:val="bottom"/>
          </w:tcPr>
          <w:p>
            <w:pPr>
              <w:spacing w:after="0"/>
              <w:rPr>
                <w:sz w:val="14"/>
                <w:szCs w:val="14"/>
                <w:color w:val="auto"/>
              </w:rPr>
            </w:pPr>
          </w:p>
        </w:tc>
        <w:tc>
          <w:tcPr>
            <w:tcW w:w="4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Name of the Shareholder</w:t>
            </w:r>
          </w:p>
        </w:tc>
        <w:tc>
          <w:tcPr>
            <w:tcW w:w="2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50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4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316"/>
        </w:trPr>
        <w:tc>
          <w:tcPr>
            <w:tcW w:w="380" w:type="dxa"/>
            <w:vAlign w:val="bottom"/>
          </w:tcPr>
          <w:p>
            <w:pPr>
              <w:spacing w:after="0"/>
              <w:rPr>
                <w:sz w:val="24"/>
                <w:szCs w:val="24"/>
                <w:color w:val="auto"/>
              </w:rPr>
            </w:pPr>
          </w:p>
        </w:tc>
        <w:tc>
          <w:tcPr>
            <w:tcW w:w="10180" w:type="dxa"/>
            <w:vAlign w:val="bottom"/>
            <w:gridSpan w:val="3"/>
          </w:tcPr>
          <w:p>
            <w:pPr>
              <w:jc w:val="center"/>
              <w:ind w:left="414"/>
              <w:spacing w:after="0"/>
              <w:rPr>
                <w:sz w:val="20"/>
                <w:szCs w:val="20"/>
                <w:color w:val="auto"/>
              </w:rPr>
            </w:pPr>
            <w:r>
              <w:rPr>
                <w:rFonts w:ascii="Arial" w:cs="Arial" w:eastAsia="Arial" w:hAnsi="Arial"/>
                <w:sz w:val="18"/>
                <w:szCs w:val="18"/>
                <w:color w:val="auto"/>
                <w:w w:val="89"/>
              </w:rPr>
              <w:t>Part One: New Oriental China</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8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Beijing New Oriental Education &amp; Technology (Group) Co., Ltd.</w:t>
            </w:r>
          </w:p>
        </w:tc>
        <w:tc>
          <w:tcPr>
            <w:tcW w:w="22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4"/>
              </w:rPr>
              <w:t>Xiaoping Xu</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8"/>
              </w:rPr>
              <w:t>Fanyi Bao</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9"/>
              </w:rPr>
              <w:t>Yongqiang Qian</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8"/>
              </w:rPr>
              <w:t>Qingquan He</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Beijing Jinfan Fengdu Culture Development Co., Ltd.</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Beijing Shiji Youhao Education Investment Co., Ltd.</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Beijing Hongcai Education &amp; Technology Co., Ltd.</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8"/>
              </w:rPr>
              <w:t>Qingdao Feixiang Language Services Co., Ltd.</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Beijing Tian Yi Yang Technology Development Co., Ltd.</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Beijing Jin Mu Tu Technology &amp; Trading Co., Ltd.</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Beijing Beizhi Culture &amp; Education Co., Ltd.</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19%</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10180" w:type="dxa"/>
            <w:vAlign w:val="bottom"/>
            <w:gridSpan w:val="3"/>
          </w:tcPr>
          <w:p>
            <w:pPr>
              <w:jc w:val="center"/>
              <w:ind w:left="394"/>
              <w:spacing w:after="0"/>
              <w:rPr>
                <w:sz w:val="20"/>
                <w:szCs w:val="20"/>
                <w:color w:val="auto"/>
              </w:rPr>
            </w:pPr>
            <w:r>
              <w:rPr>
                <w:rFonts w:ascii="Arial" w:cs="Arial" w:eastAsia="Arial" w:hAnsi="Arial"/>
                <w:sz w:val="18"/>
                <w:szCs w:val="18"/>
                <w:color w:val="auto"/>
                <w:w w:val="90"/>
              </w:rPr>
              <w:t>Part Two: List of New Oriental Schools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1</w:t>
            </w: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Beijing New Oriental Yangzhou Bilingual School</w:t>
            </w:r>
          </w:p>
        </w:tc>
        <w:tc>
          <w:tcPr>
            <w:tcW w:w="22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9"/>
              </w:rPr>
              <w:t>New Oriental China</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324"/>
        </w:trPr>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2</w:t>
            </w:r>
          </w:p>
        </w:tc>
        <w:tc>
          <w:tcPr>
            <w:tcW w:w="5040" w:type="dxa"/>
            <w:vAlign w:val="bottom"/>
          </w:tcPr>
          <w:p>
            <w:pPr>
              <w:jc w:val="center"/>
              <w:spacing w:after="0"/>
              <w:rPr>
                <w:sz w:val="20"/>
                <w:szCs w:val="20"/>
                <w:color w:val="auto"/>
              </w:rPr>
            </w:pPr>
            <w:r>
              <w:rPr>
                <w:rFonts w:ascii="Arial" w:cs="Arial" w:eastAsia="Arial" w:hAnsi="Arial"/>
                <w:sz w:val="18"/>
                <w:szCs w:val="18"/>
                <w:color w:val="auto"/>
                <w:w w:val="88"/>
              </w:rPr>
              <w:t>Shenyang New Oriental Foreign Language Training School</w:t>
            </w:r>
          </w:p>
        </w:tc>
        <w:tc>
          <w:tcPr>
            <w:tcW w:w="22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9"/>
              </w:rPr>
              <w:t>New Oriental China</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324"/>
        </w:trPr>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3</w:t>
            </w: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Shenzhen New Oriental Training School</w:t>
            </w:r>
          </w:p>
        </w:tc>
        <w:tc>
          <w:tcPr>
            <w:tcW w:w="22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9"/>
              </w:rPr>
              <w:t>New Oriental China</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324"/>
        </w:trPr>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4</w:t>
            </w:r>
          </w:p>
        </w:tc>
        <w:tc>
          <w:tcPr>
            <w:tcW w:w="5040" w:type="dxa"/>
            <w:vAlign w:val="bottom"/>
          </w:tcPr>
          <w:p>
            <w:pPr>
              <w:jc w:val="center"/>
              <w:spacing w:after="0"/>
              <w:rPr>
                <w:sz w:val="20"/>
                <w:szCs w:val="20"/>
                <w:color w:val="auto"/>
              </w:rPr>
            </w:pPr>
            <w:r>
              <w:rPr>
                <w:rFonts w:ascii="Arial" w:cs="Arial" w:eastAsia="Arial" w:hAnsi="Arial"/>
                <w:sz w:val="18"/>
                <w:szCs w:val="18"/>
                <w:color w:val="auto"/>
                <w:w w:val="90"/>
              </w:rPr>
              <w:t>Chongqing New Oriental Training School</w:t>
            </w:r>
          </w:p>
        </w:tc>
        <w:tc>
          <w:tcPr>
            <w:tcW w:w="22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9"/>
              </w:rPr>
              <w:t>New Oriental China</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324"/>
        </w:trPr>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5</w:t>
            </w: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Chengdu New Oriental School</w:t>
            </w:r>
          </w:p>
        </w:tc>
        <w:tc>
          <w:tcPr>
            <w:tcW w:w="22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9"/>
              </w:rPr>
              <w:t>New Oriental China</w:t>
            </w:r>
          </w:p>
        </w:tc>
        <w:tc>
          <w:tcPr>
            <w:tcW w:w="86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356" w:name="page357"/>
    <w:bookmarkEnd w:id="3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6100" w:type="dxa"/>
            <w:vAlign w:val="bottom"/>
          </w:tcPr>
          <w:p>
            <w:pPr>
              <w:jc w:val="center"/>
              <w:ind w:right="792"/>
              <w:spacing w:after="0"/>
              <w:rPr>
                <w:sz w:val="20"/>
                <w:szCs w:val="20"/>
                <w:color w:val="auto"/>
              </w:rPr>
            </w:pPr>
            <w:r>
              <w:rPr>
                <w:rFonts w:ascii="Arial" w:cs="Arial" w:eastAsia="Arial" w:hAnsi="Arial"/>
                <w:sz w:val="18"/>
                <w:szCs w:val="18"/>
                <w:color w:val="auto"/>
                <w:w w:val="91"/>
              </w:rPr>
              <w:t>Xi’an Yanta District New Oriental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7</w:t>
            </w:r>
          </w:p>
        </w:tc>
        <w:tc>
          <w:tcPr>
            <w:tcW w:w="6100" w:type="dxa"/>
            <w:vAlign w:val="bottom"/>
          </w:tcPr>
          <w:p>
            <w:pPr>
              <w:jc w:val="center"/>
              <w:ind w:right="792"/>
              <w:spacing w:after="0"/>
              <w:rPr>
                <w:sz w:val="20"/>
                <w:szCs w:val="20"/>
                <w:color w:val="auto"/>
              </w:rPr>
            </w:pPr>
            <w:r>
              <w:rPr>
                <w:rFonts w:ascii="Arial" w:cs="Arial" w:eastAsia="Arial" w:hAnsi="Arial"/>
                <w:sz w:val="18"/>
                <w:szCs w:val="18"/>
                <w:color w:val="auto"/>
                <w:w w:val="90"/>
              </w:rPr>
              <w:t>Nanjing Gulou New Oriental Advanced Study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8</w:t>
            </w:r>
          </w:p>
        </w:tc>
        <w:tc>
          <w:tcPr>
            <w:tcW w:w="6100" w:type="dxa"/>
            <w:vAlign w:val="bottom"/>
          </w:tcPr>
          <w:p>
            <w:pPr>
              <w:jc w:val="center"/>
              <w:ind w:right="792"/>
              <w:spacing w:after="0"/>
              <w:rPr>
                <w:sz w:val="20"/>
                <w:szCs w:val="20"/>
                <w:color w:val="auto"/>
              </w:rPr>
            </w:pPr>
            <w:r>
              <w:rPr>
                <w:rFonts w:ascii="Arial" w:cs="Arial" w:eastAsia="Arial" w:hAnsi="Arial"/>
                <w:sz w:val="18"/>
                <w:szCs w:val="18"/>
                <w:color w:val="auto"/>
                <w:w w:val="89"/>
              </w:rPr>
              <w:t>Wuhan New Oriental Training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9</w:t>
            </w:r>
          </w:p>
        </w:tc>
        <w:tc>
          <w:tcPr>
            <w:tcW w:w="6100" w:type="dxa"/>
            <w:vAlign w:val="bottom"/>
          </w:tcPr>
          <w:p>
            <w:pPr>
              <w:jc w:val="center"/>
              <w:ind w:right="792"/>
              <w:spacing w:after="0"/>
              <w:rPr>
                <w:sz w:val="20"/>
                <w:szCs w:val="20"/>
                <w:color w:val="auto"/>
              </w:rPr>
            </w:pPr>
            <w:r>
              <w:rPr>
                <w:rFonts w:ascii="Arial" w:cs="Arial" w:eastAsia="Arial" w:hAnsi="Arial"/>
                <w:sz w:val="18"/>
                <w:szCs w:val="18"/>
                <w:color w:val="auto"/>
                <w:w w:val="90"/>
              </w:rPr>
              <w:t>Guangzhou Haizhu District Privately-Funded New Oriental Training</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360" w:type="dxa"/>
            <w:vAlign w:val="bottom"/>
          </w:tcPr>
          <w:p>
            <w:pPr>
              <w:spacing w:after="0"/>
              <w:rPr>
                <w:sz w:val="19"/>
                <w:szCs w:val="19"/>
                <w:color w:val="auto"/>
              </w:rPr>
            </w:pPr>
          </w:p>
        </w:tc>
        <w:tc>
          <w:tcPr>
            <w:tcW w:w="6100" w:type="dxa"/>
            <w:vAlign w:val="bottom"/>
          </w:tcPr>
          <w:p>
            <w:pPr>
              <w:jc w:val="center"/>
              <w:ind w:right="812"/>
              <w:spacing w:after="0"/>
              <w:rPr>
                <w:sz w:val="20"/>
                <w:szCs w:val="20"/>
                <w:color w:val="auto"/>
              </w:rPr>
            </w:pPr>
            <w:r>
              <w:rPr>
                <w:rFonts w:ascii="Arial" w:cs="Arial" w:eastAsia="Arial" w:hAnsi="Arial"/>
                <w:sz w:val="18"/>
                <w:szCs w:val="18"/>
                <w:color w:val="auto"/>
                <w:w w:val="87"/>
              </w:rPr>
              <w:t>School</w:t>
            </w:r>
          </w:p>
        </w:tc>
        <w:tc>
          <w:tcPr>
            <w:tcW w:w="35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10</w:t>
            </w:r>
          </w:p>
        </w:tc>
        <w:tc>
          <w:tcPr>
            <w:tcW w:w="6100" w:type="dxa"/>
            <w:vAlign w:val="bottom"/>
          </w:tcPr>
          <w:p>
            <w:pPr>
              <w:jc w:val="center"/>
              <w:ind w:right="792"/>
              <w:spacing w:after="0"/>
              <w:rPr>
                <w:sz w:val="20"/>
                <w:szCs w:val="20"/>
                <w:color w:val="auto"/>
              </w:rPr>
            </w:pPr>
            <w:r>
              <w:rPr>
                <w:rFonts w:ascii="Arial" w:cs="Arial" w:eastAsia="Arial" w:hAnsi="Arial"/>
                <w:sz w:val="18"/>
                <w:szCs w:val="18"/>
                <w:color w:val="auto"/>
                <w:w w:val="91"/>
              </w:rPr>
              <w:t>Tianjin New Oriental Training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11</w:t>
            </w:r>
          </w:p>
        </w:tc>
        <w:tc>
          <w:tcPr>
            <w:tcW w:w="6100" w:type="dxa"/>
            <w:vAlign w:val="bottom"/>
          </w:tcPr>
          <w:p>
            <w:pPr>
              <w:jc w:val="center"/>
              <w:ind w:right="792"/>
              <w:spacing w:after="0"/>
              <w:rPr>
                <w:sz w:val="20"/>
                <w:szCs w:val="20"/>
                <w:color w:val="auto"/>
              </w:rPr>
            </w:pPr>
            <w:r>
              <w:rPr>
                <w:rFonts w:ascii="Arial" w:cs="Arial" w:eastAsia="Arial" w:hAnsi="Arial"/>
                <w:sz w:val="18"/>
                <w:szCs w:val="18"/>
                <w:color w:val="auto"/>
                <w:w w:val="89"/>
              </w:rPr>
              <w:t>Shanghai Yangpu District New Oriental Advanced Study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12</w:t>
            </w:r>
          </w:p>
        </w:tc>
        <w:tc>
          <w:tcPr>
            <w:tcW w:w="6100" w:type="dxa"/>
            <w:vAlign w:val="bottom"/>
          </w:tcPr>
          <w:p>
            <w:pPr>
              <w:jc w:val="center"/>
              <w:ind w:right="812"/>
              <w:spacing w:after="0"/>
              <w:rPr>
                <w:sz w:val="20"/>
                <w:szCs w:val="20"/>
                <w:color w:val="auto"/>
              </w:rPr>
            </w:pPr>
            <w:r>
              <w:rPr>
                <w:rFonts w:ascii="Arial" w:cs="Arial" w:eastAsia="Arial" w:hAnsi="Arial"/>
                <w:sz w:val="18"/>
                <w:szCs w:val="18"/>
                <w:color w:val="auto"/>
                <w:w w:val="91"/>
              </w:rPr>
              <w:t>Beijing Haidian District Privately-Funded New Oriental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13</w:t>
            </w:r>
          </w:p>
        </w:tc>
        <w:tc>
          <w:tcPr>
            <w:tcW w:w="6100" w:type="dxa"/>
            <w:vAlign w:val="bottom"/>
          </w:tcPr>
          <w:p>
            <w:pPr>
              <w:jc w:val="center"/>
              <w:ind w:right="812"/>
              <w:spacing w:after="0"/>
              <w:rPr>
                <w:sz w:val="20"/>
                <w:szCs w:val="20"/>
                <w:color w:val="auto"/>
              </w:rPr>
            </w:pPr>
            <w:r>
              <w:rPr>
                <w:rFonts w:ascii="Arial" w:cs="Arial" w:eastAsia="Arial" w:hAnsi="Arial"/>
                <w:sz w:val="18"/>
                <w:szCs w:val="18"/>
                <w:color w:val="auto"/>
                <w:w w:val="90"/>
              </w:rPr>
              <w:t>Beijing New Oriental International Preparatory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14</w:t>
            </w:r>
          </w:p>
        </w:tc>
        <w:tc>
          <w:tcPr>
            <w:tcW w:w="6100" w:type="dxa"/>
            <w:vAlign w:val="bottom"/>
          </w:tcPr>
          <w:p>
            <w:pPr>
              <w:jc w:val="center"/>
              <w:ind w:right="792"/>
              <w:spacing w:after="0"/>
              <w:rPr>
                <w:sz w:val="20"/>
                <w:szCs w:val="20"/>
                <w:color w:val="auto"/>
              </w:rPr>
            </w:pPr>
            <w:r>
              <w:rPr>
                <w:rFonts w:ascii="Arial" w:cs="Arial" w:eastAsia="Arial" w:hAnsi="Arial"/>
                <w:sz w:val="18"/>
                <w:szCs w:val="18"/>
                <w:color w:val="auto"/>
                <w:w w:val="90"/>
              </w:rPr>
              <w:t>Xiangfan New Oriental Training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15</w:t>
            </w:r>
          </w:p>
        </w:tc>
        <w:tc>
          <w:tcPr>
            <w:tcW w:w="6100" w:type="dxa"/>
            <w:vAlign w:val="bottom"/>
          </w:tcPr>
          <w:p>
            <w:pPr>
              <w:jc w:val="center"/>
              <w:ind w:right="792"/>
              <w:spacing w:after="0"/>
              <w:rPr>
                <w:sz w:val="20"/>
                <w:szCs w:val="20"/>
                <w:color w:val="auto"/>
              </w:rPr>
            </w:pPr>
            <w:r>
              <w:rPr>
                <w:rFonts w:ascii="Arial" w:cs="Arial" w:eastAsia="Arial" w:hAnsi="Arial"/>
                <w:sz w:val="18"/>
                <w:szCs w:val="18"/>
                <w:color w:val="auto"/>
                <w:w w:val="90"/>
              </w:rPr>
              <w:t>Jinan New Oriental Training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16</w:t>
            </w:r>
          </w:p>
        </w:tc>
        <w:tc>
          <w:tcPr>
            <w:tcW w:w="6100" w:type="dxa"/>
            <w:vAlign w:val="bottom"/>
          </w:tcPr>
          <w:p>
            <w:pPr>
              <w:jc w:val="center"/>
              <w:ind w:right="812"/>
              <w:spacing w:after="0"/>
              <w:rPr>
                <w:sz w:val="20"/>
                <w:szCs w:val="20"/>
                <w:color w:val="auto"/>
              </w:rPr>
            </w:pPr>
            <w:r>
              <w:rPr>
                <w:rFonts w:ascii="Arial" w:cs="Arial" w:eastAsia="Arial" w:hAnsi="Arial"/>
                <w:sz w:val="18"/>
                <w:szCs w:val="18"/>
                <w:color w:val="auto"/>
                <w:w w:val="89"/>
              </w:rPr>
              <w:t>Zhengzhou New Oriental Training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17</w:t>
            </w:r>
          </w:p>
        </w:tc>
        <w:tc>
          <w:tcPr>
            <w:tcW w:w="6100" w:type="dxa"/>
            <w:vAlign w:val="bottom"/>
          </w:tcPr>
          <w:p>
            <w:pPr>
              <w:jc w:val="center"/>
              <w:ind w:right="792"/>
              <w:spacing w:after="0"/>
              <w:rPr>
                <w:sz w:val="20"/>
                <w:szCs w:val="20"/>
                <w:color w:val="auto"/>
              </w:rPr>
            </w:pPr>
            <w:r>
              <w:rPr>
                <w:rFonts w:ascii="Arial" w:cs="Arial" w:eastAsia="Arial" w:hAnsi="Arial"/>
                <w:sz w:val="18"/>
                <w:szCs w:val="18"/>
                <w:color w:val="auto"/>
                <w:w w:val="89"/>
              </w:rPr>
              <w:t>Hangzhou New Oriental Advanced Study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18</w:t>
            </w:r>
          </w:p>
        </w:tc>
        <w:tc>
          <w:tcPr>
            <w:tcW w:w="6100" w:type="dxa"/>
            <w:vAlign w:val="bottom"/>
          </w:tcPr>
          <w:p>
            <w:pPr>
              <w:jc w:val="center"/>
              <w:ind w:right="812"/>
              <w:spacing w:after="0"/>
              <w:rPr>
                <w:sz w:val="20"/>
                <w:szCs w:val="20"/>
                <w:color w:val="auto"/>
              </w:rPr>
            </w:pPr>
            <w:r>
              <w:rPr>
                <w:rFonts w:ascii="Arial" w:cs="Arial" w:eastAsia="Arial" w:hAnsi="Arial"/>
                <w:sz w:val="18"/>
                <w:szCs w:val="18"/>
                <w:color w:val="auto"/>
                <w:w w:val="89"/>
              </w:rPr>
              <w:t>Changchun New Oriental Training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19</w:t>
            </w:r>
          </w:p>
        </w:tc>
        <w:tc>
          <w:tcPr>
            <w:tcW w:w="6100" w:type="dxa"/>
            <w:vAlign w:val="bottom"/>
          </w:tcPr>
          <w:p>
            <w:pPr>
              <w:jc w:val="center"/>
              <w:ind w:right="792"/>
              <w:spacing w:after="0"/>
              <w:rPr>
                <w:sz w:val="20"/>
                <w:szCs w:val="20"/>
                <w:color w:val="auto"/>
              </w:rPr>
            </w:pPr>
            <w:r>
              <w:rPr>
                <w:rFonts w:ascii="Arial" w:cs="Arial" w:eastAsia="Arial" w:hAnsi="Arial"/>
                <w:sz w:val="18"/>
                <w:szCs w:val="18"/>
                <w:color w:val="auto"/>
                <w:w w:val="90"/>
              </w:rPr>
              <w:t>Harbin Nangang District New Oriental Training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20</w:t>
            </w:r>
          </w:p>
        </w:tc>
        <w:tc>
          <w:tcPr>
            <w:tcW w:w="6100" w:type="dxa"/>
            <w:vAlign w:val="bottom"/>
          </w:tcPr>
          <w:p>
            <w:pPr>
              <w:jc w:val="center"/>
              <w:ind w:right="792"/>
              <w:spacing w:after="0"/>
              <w:rPr>
                <w:sz w:val="20"/>
                <w:szCs w:val="20"/>
                <w:color w:val="auto"/>
              </w:rPr>
            </w:pPr>
            <w:r>
              <w:rPr>
                <w:rFonts w:ascii="Arial" w:cs="Arial" w:eastAsia="Arial" w:hAnsi="Arial"/>
                <w:sz w:val="18"/>
                <w:szCs w:val="18"/>
                <w:color w:val="auto"/>
                <w:w w:val="89"/>
              </w:rPr>
              <w:t>Changsha Furong District New Oriental Training School</w:t>
            </w:r>
          </w:p>
        </w:tc>
        <w:tc>
          <w:tcPr>
            <w:tcW w:w="3520" w:type="dxa"/>
            <w:vAlign w:val="bottom"/>
          </w:tcPr>
          <w:p>
            <w:pPr>
              <w:ind w:left="1080"/>
              <w:spacing w:after="0"/>
              <w:rPr>
                <w:sz w:val="20"/>
                <w:szCs w:val="20"/>
                <w:color w:val="auto"/>
              </w:rPr>
            </w:pPr>
            <w:r>
              <w:rPr>
                <w:rFonts w:ascii="Arial" w:cs="Arial" w:eastAsia="Arial" w:hAnsi="Arial"/>
                <w:sz w:val="18"/>
                <w:szCs w:val="18"/>
                <w:color w:val="auto"/>
              </w:rPr>
              <w:t>New Oriental China</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00"/>
          </w:cols>
          <w:pgMar w:left="240" w:top="280" w:right="259" w:bottom="1440" w:gutter="0" w:footer="0" w:header="0"/>
        </w:sectPr>
      </w:pPr>
    </w:p>
    <w:bookmarkStart w:id="357" w:name="page358"/>
    <w:bookmarkEnd w:id="3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21</w:t>
            </w: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Taiyuan New Oriental Training School</w:t>
            </w: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6"/>
              </w:rPr>
              <w:t>100%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22</w:t>
            </w: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Zhuzhou New Oriental Training School</w:t>
            </w: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6"/>
              </w:rPr>
              <w:t>100%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23</w:t>
            </w:r>
          </w:p>
        </w:tc>
        <w:tc>
          <w:tcPr>
            <w:tcW w:w="5220" w:type="dxa"/>
            <w:vAlign w:val="bottom"/>
          </w:tcPr>
          <w:p>
            <w:pPr>
              <w:jc w:val="center"/>
              <w:spacing w:after="0"/>
              <w:rPr>
                <w:sz w:val="20"/>
                <w:szCs w:val="20"/>
                <w:color w:val="auto"/>
              </w:rPr>
            </w:pPr>
            <w:r>
              <w:rPr>
                <w:rFonts w:ascii="Arial" w:cs="Arial" w:eastAsia="Arial" w:hAnsi="Arial"/>
                <w:sz w:val="18"/>
                <w:szCs w:val="18"/>
                <w:color w:val="auto"/>
                <w:w w:val="89"/>
              </w:rPr>
              <w:t>Shijiazhuang New Oriental School</w:t>
            </w: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6"/>
              </w:rPr>
              <w:t>100%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24</w:t>
            </w:r>
          </w:p>
        </w:tc>
        <w:tc>
          <w:tcPr>
            <w:tcW w:w="5220" w:type="dxa"/>
            <w:vAlign w:val="bottom"/>
          </w:tcPr>
          <w:p>
            <w:pPr>
              <w:jc w:val="center"/>
              <w:spacing w:after="0"/>
              <w:rPr>
                <w:sz w:val="20"/>
                <w:szCs w:val="20"/>
                <w:color w:val="auto"/>
              </w:rPr>
            </w:pPr>
            <w:r>
              <w:rPr>
                <w:rFonts w:ascii="Arial" w:cs="Arial" w:eastAsia="Arial" w:hAnsi="Arial"/>
                <w:sz w:val="18"/>
                <w:szCs w:val="18"/>
                <w:color w:val="auto"/>
                <w:w w:val="89"/>
              </w:rPr>
              <w:t>Suzhou New Oriental School</w:t>
            </w: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6"/>
              </w:rPr>
              <w:t>100%</w:t>
            </w:r>
          </w:p>
        </w:tc>
      </w:tr>
      <w:tr>
        <w:trPr>
          <w:trHeight w:val="432"/>
        </w:trPr>
        <w:tc>
          <w:tcPr>
            <w:tcW w:w="380" w:type="dxa"/>
            <w:vAlign w:val="bottom"/>
          </w:tcPr>
          <w:p>
            <w:pPr>
              <w:spacing w:after="0"/>
              <w:rPr>
                <w:sz w:val="24"/>
                <w:szCs w:val="24"/>
                <w:color w:val="auto"/>
              </w:rPr>
            </w:pPr>
          </w:p>
        </w:tc>
        <w:tc>
          <w:tcPr>
            <w:tcW w:w="10460" w:type="dxa"/>
            <w:vAlign w:val="bottom"/>
            <w:gridSpan w:val="2"/>
          </w:tcPr>
          <w:p>
            <w:pPr>
              <w:ind w:left="4000"/>
              <w:spacing w:after="0"/>
              <w:rPr>
                <w:sz w:val="20"/>
                <w:szCs w:val="20"/>
                <w:color w:val="auto"/>
              </w:rPr>
            </w:pPr>
            <w:r>
              <w:rPr>
                <w:rFonts w:ascii="Arial" w:cs="Arial" w:eastAsia="Arial" w:hAnsi="Arial"/>
                <w:sz w:val="18"/>
                <w:szCs w:val="18"/>
                <w:color w:val="auto"/>
              </w:rPr>
              <w:t>Part Three: New Oriental Subsidiaries</w:t>
            </w:r>
          </w:p>
        </w:tc>
        <w:tc>
          <w:tcPr>
            <w:tcW w:w="560" w:type="dxa"/>
            <w:vAlign w:val="bottom"/>
          </w:tcPr>
          <w:p>
            <w:pPr>
              <w:spacing w:after="0"/>
              <w:rPr>
                <w:sz w:val="24"/>
                <w:szCs w:val="24"/>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8"/>
              </w:rPr>
              <w:t>80%</w:t>
            </w:r>
          </w:p>
        </w:tc>
      </w:tr>
      <w:tr>
        <w:trPr>
          <w:trHeight w:val="324"/>
        </w:trPr>
        <w:tc>
          <w:tcPr>
            <w:tcW w:w="3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Shiji Youhao (holding shares on behalf of 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8"/>
              </w:rPr>
              <w:t>20%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Beijing Mingri Dongfang Technology Co.,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8"/>
              </w:rPr>
              <w:t>99%</w:t>
            </w:r>
          </w:p>
        </w:tc>
      </w:tr>
      <w:tr>
        <w:trPr>
          <w:trHeight w:val="324"/>
        </w:trPr>
        <w:tc>
          <w:tcPr>
            <w:tcW w:w="3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Ms. Li Li (holding shares on behalf of 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92"/>
              </w:rPr>
              <w:t>1%</w:t>
            </w: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Beijing New Oriental Qiantu Chuguo Consultancy Co.,</w:t>
            </w: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8"/>
              </w:rPr>
              <w:t>80%</w:t>
            </w:r>
          </w:p>
        </w:tc>
      </w:tr>
      <w:tr>
        <w:trPr>
          <w:trHeight w:val="222"/>
        </w:trPr>
        <w:tc>
          <w:tcPr>
            <w:tcW w:w="3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Ltd.</w:t>
            </w:r>
          </w:p>
        </w:tc>
        <w:tc>
          <w:tcPr>
            <w:tcW w:w="5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38"/>
        </w:trPr>
        <w:tc>
          <w:tcPr>
            <w:tcW w:w="3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Shiji Youhao (holding shares on behalf of 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8"/>
              </w:rPr>
              <w:t>20%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Beijing New Oriental Xuncheng Net work &amp; Technology Co.,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8"/>
              </w:rPr>
              <w:t>99%</w:t>
            </w:r>
          </w:p>
        </w:tc>
      </w:tr>
      <w:tr>
        <w:trPr>
          <w:trHeight w:val="324"/>
        </w:trPr>
        <w:tc>
          <w:tcPr>
            <w:tcW w:w="3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Ms. Li Li (holding shares on behalf of 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92"/>
              </w:rPr>
              <w:t>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Yangzhou New Oriental Education &amp; Technology Co.,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New Oriental China</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8"/>
              </w:rPr>
              <w:t>90%</w:t>
            </w:r>
          </w:p>
        </w:tc>
      </w:tr>
      <w:tr>
        <w:trPr>
          <w:trHeight w:val="318"/>
        </w:trPr>
        <w:tc>
          <w:tcPr>
            <w:tcW w:w="3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Beijing Shiji Youhao Education Investment Co., Ltd. (holding shares</w:t>
            </w: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8"/>
              </w:rPr>
              <w:t>10%</w:t>
            </w:r>
          </w:p>
        </w:tc>
      </w:tr>
      <w:tr>
        <w:trPr>
          <w:trHeight w:val="222"/>
        </w:trPr>
        <w:tc>
          <w:tcPr>
            <w:tcW w:w="38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on behalf of New Oriental China)</w:t>
            </w:r>
          </w:p>
        </w:tc>
        <w:tc>
          <w:tcPr>
            <w:tcW w:w="560" w:type="dxa"/>
            <w:vAlign w:val="bottom"/>
          </w:tcPr>
          <w:p>
            <w:pPr>
              <w:spacing w:after="0"/>
              <w:rPr>
                <w:sz w:val="19"/>
                <w:szCs w:val="19"/>
                <w:color w:val="auto"/>
              </w:rPr>
            </w:pPr>
          </w:p>
        </w:tc>
      </w:tr>
    </w:tbl>
    <w:p>
      <w:pPr>
        <w:sectPr>
          <w:pgSz w:w="11900" w:h="16838" w:orient="portrait"/>
          <w:cols w:equalWidth="0" w:num="1">
            <w:col w:w="11400"/>
          </w:cols>
          <w:pgMar w:left="240" w:top="280" w:right="259" w:bottom="1440" w:gutter="0" w:footer="0" w:header="0"/>
        </w:sectPr>
      </w:pPr>
    </w:p>
    <w:bookmarkStart w:id="358" w:name="page359"/>
    <w:bookmarkEnd w:id="3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6</w:t>
            </w:r>
          </w:p>
        </w:tc>
        <w:tc>
          <w:tcPr>
            <w:tcW w:w="5160" w:type="dxa"/>
            <w:vAlign w:val="bottom"/>
          </w:tcPr>
          <w:p>
            <w:pPr>
              <w:jc w:val="center"/>
              <w:spacing w:after="0"/>
              <w:rPr>
                <w:sz w:val="20"/>
                <w:szCs w:val="20"/>
                <w:color w:val="auto"/>
              </w:rPr>
            </w:pPr>
            <w:r>
              <w:rPr>
                <w:rFonts w:ascii="Arial" w:cs="Arial" w:eastAsia="Arial" w:hAnsi="Arial"/>
                <w:sz w:val="18"/>
                <w:szCs w:val="18"/>
                <w:color w:val="auto"/>
                <w:w w:val="92"/>
              </w:rPr>
              <w:t>Beijing New Oriental Dogwood Book Audio &amp; Video Co., Ltd.</w:t>
            </w: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0"/>
              </w:rPr>
              <w:t>New Oriental China</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5160" w:type="dxa"/>
            <w:vAlign w:val="bottom"/>
          </w:tcPr>
          <w:p>
            <w:pPr>
              <w:jc w:val="center"/>
              <w:spacing w:after="0"/>
              <w:rPr>
                <w:sz w:val="20"/>
                <w:szCs w:val="20"/>
                <w:color w:val="auto"/>
              </w:rPr>
            </w:pPr>
            <w:r>
              <w:rPr>
                <w:rFonts w:ascii="Arial" w:cs="Arial" w:eastAsia="Arial" w:hAnsi="Arial"/>
                <w:sz w:val="18"/>
                <w:szCs w:val="18"/>
                <w:color w:val="auto"/>
                <w:w w:val="91"/>
              </w:rPr>
              <w:t>Beijing New Oriental Dogwood Advertisement Co., Ltd.</w:t>
            </w: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0"/>
              </w:rPr>
              <w:t>New Oriental China</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18"/>
        </w:trPr>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89"/>
              </w:rPr>
              <w:t>Beijing Shiji Youhao Education Investment Co., Ltd. (holding shares</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4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0"/>
              </w:rPr>
              <w:t>on behalf of New Oriental China)</w:t>
            </w:r>
          </w:p>
        </w:tc>
        <w:tc>
          <w:tcPr>
            <w:tcW w:w="500" w:type="dxa"/>
            <w:vAlign w:val="bottom"/>
          </w:tcPr>
          <w:p>
            <w:pPr>
              <w:spacing w:after="0"/>
              <w:rPr>
                <w:sz w:val="19"/>
                <w:szCs w:val="19"/>
                <w:color w:val="auto"/>
              </w:rPr>
            </w:pP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5160" w:type="dxa"/>
            <w:vAlign w:val="bottom"/>
          </w:tcPr>
          <w:p>
            <w:pPr>
              <w:jc w:val="center"/>
              <w:spacing w:after="0"/>
              <w:rPr>
                <w:sz w:val="20"/>
                <w:szCs w:val="20"/>
                <w:color w:val="auto"/>
              </w:rPr>
            </w:pPr>
            <w:r>
              <w:rPr>
                <w:rFonts w:ascii="Arial" w:cs="Arial" w:eastAsia="Arial" w:hAnsi="Arial"/>
                <w:sz w:val="18"/>
                <w:szCs w:val="18"/>
                <w:color w:val="auto"/>
                <w:w w:val="91"/>
              </w:rPr>
              <w:t>Shanghai Dogwood Book Audio &amp; Video Co., Ltd.</w:t>
            </w: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0"/>
              </w:rPr>
              <w:t>New Oriental China</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1"/>
              </w:rPr>
              <w:t>Ms. Li Li (holding shares on behalf of New Oriental China)</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5160" w:type="dxa"/>
            <w:vAlign w:val="bottom"/>
          </w:tcPr>
          <w:p>
            <w:pPr>
              <w:jc w:val="center"/>
              <w:spacing w:after="0"/>
              <w:rPr>
                <w:sz w:val="20"/>
                <w:szCs w:val="20"/>
                <w:color w:val="auto"/>
              </w:rPr>
            </w:pPr>
            <w:r>
              <w:rPr>
                <w:rFonts w:ascii="Arial" w:cs="Arial" w:eastAsia="Arial" w:hAnsi="Arial"/>
                <w:sz w:val="18"/>
                <w:szCs w:val="18"/>
                <w:color w:val="auto"/>
                <w:w w:val="91"/>
              </w:rPr>
              <w:t>Shenyang New Oriental Dogwood Book Audio &amp; Video Co., Ltd.</w:t>
            </w: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2"/>
              </w:rPr>
              <w:t>Beijing New Oriental Dogwood Book Audio &amp; Video Co., Ltd.</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5160" w:type="dxa"/>
            <w:vAlign w:val="bottom"/>
          </w:tcPr>
          <w:p>
            <w:pPr>
              <w:jc w:val="center"/>
              <w:spacing w:after="0"/>
              <w:rPr>
                <w:sz w:val="20"/>
                <w:szCs w:val="20"/>
                <w:color w:val="auto"/>
              </w:rPr>
            </w:pPr>
            <w:r>
              <w:rPr>
                <w:rFonts w:ascii="Arial" w:cs="Arial" w:eastAsia="Arial" w:hAnsi="Arial"/>
                <w:sz w:val="18"/>
                <w:szCs w:val="18"/>
                <w:color w:val="auto"/>
                <w:w w:val="92"/>
              </w:rPr>
              <w:t>Tianjin Dogwood Book Audio &amp; Video Co., Ltd.</w:t>
            </w: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2"/>
              </w:rPr>
              <w:t>Beijing New Oriental Dogwood Book Audio &amp; Video Co., Ltd.</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11</w:t>
            </w:r>
          </w:p>
        </w:tc>
        <w:tc>
          <w:tcPr>
            <w:tcW w:w="5160" w:type="dxa"/>
            <w:vAlign w:val="bottom"/>
          </w:tcPr>
          <w:p>
            <w:pPr>
              <w:jc w:val="center"/>
              <w:spacing w:after="0"/>
              <w:rPr>
                <w:sz w:val="20"/>
                <w:szCs w:val="20"/>
                <w:color w:val="auto"/>
              </w:rPr>
            </w:pPr>
            <w:r>
              <w:rPr>
                <w:rFonts w:ascii="Arial" w:cs="Arial" w:eastAsia="Arial" w:hAnsi="Arial"/>
                <w:sz w:val="18"/>
                <w:szCs w:val="18"/>
                <w:color w:val="auto"/>
                <w:w w:val="92"/>
              </w:rPr>
              <w:t>Xi’an New Oriental Dogwood Book Audio &amp; Video Co., Ltd.</w:t>
            </w: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2"/>
              </w:rPr>
              <w:t>Beijing New Oriental Dogwood Book Audio &amp; Video Co., Ltd.</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12</w:t>
            </w:r>
          </w:p>
        </w:tc>
        <w:tc>
          <w:tcPr>
            <w:tcW w:w="5160" w:type="dxa"/>
            <w:vAlign w:val="bottom"/>
          </w:tcPr>
          <w:p>
            <w:pPr>
              <w:jc w:val="center"/>
              <w:spacing w:after="0"/>
              <w:rPr>
                <w:sz w:val="20"/>
                <w:szCs w:val="20"/>
                <w:color w:val="auto"/>
              </w:rPr>
            </w:pPr>
            <w:r>
              <w:rPr>
                <w:rFonts w:ascii="Arial" w:cs="Arial" w:eastAsia="Arial" w:hAnsi="Arial"/>
                <w:sz w:val="18"/>
                <w:szCs w:val="18"/>
                <w:color w:val="auto"/>
                <w:w w:val="91"/>
              </w:rPr>
              <w:t>Nanjing New Oriental Dogwood Book Co., Ltd.</w:t>
            </w: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2"/>
              </w:rPr>
              <w:t>Beijing New Oriental Dogwood Book Audio &amp; Video Co., Ltd.</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13</w:t>
            </w:r>
          </w:p>
        </w:tc>
        <w:tc>
          <w:tcPr>
            <w:tcW w:w="5160" w:type="dxa"/>
            <w:vAlign w:val="bottom"/>
          </w:tcPr>
          <w:p>
            <w:pPr>
              <w:jc w:val="center"/>
              <w:spacing w:after="0"/>
              <w:rPr>
                <w:sz w:val="20"/>
                <w:szCs w:val="20"/>
                <w:color w:val="auto"/>
              </w:rPr>
            </w:pPr>
            <w:r>
              <w:rPr>
                <w:rFonts w:ascii="Arial" w:cs="Arial" w:eastAsia="Arial" w:hAnsi="Arial"/>
                <w:sz w:val="18"/>
                <w:szCs w:val="18"/>
                <w:color w:val="auto"/>
                <w:w w:val="91"/>
              </w:rPr>
              <w:t>Guangzhou Dogwood Book Audio &amp; Video Co., Ltd.</w:t>
            </w: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2"/>
              </w:rPr>
              <w:t>Beijing New Oriental Dogwood Book Audio &amp; Video Co., Ltd.</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320" w:type="dxa"/>
            <w:vAlign w:val="bottom"/>
          </w:tcPr>
          <w:p>
            <w:pPr>
              <w:jc w:val="center"/>
              <w:ind w:left="12"/>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388" w:right="239" w:bottom="1440" w:gutter="0" w:footer="0" w:header="0"/>
        </w:sectPr>
      </w:pPr>
    </w:p>
    <w:bookmarkStart w:id="359" w:name="page360"/>
    <w:bookmarkEnd w:id="3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14</w:t>
            </w:r>
          </w:p>
        </w:tc>
        <w:tc>
          <w:tcPr>
            <w:tcW w:w="5300" w:type="dxa"/>
            <w:vAlign w:val="bottom"/>
          </w:tcPr>
          <w:p>
            <w:pPr>
              <w:jc w:val="center"/>
              <w:spacing w:after="0"/>
              <w:rPr>
                <w:sz w:val="20"/>
                <w:szCs w:val="20"/>
                <w:color w:val="auto"/>
              </w:rPr>
            </w:pPr>
            <w:r>
              <w:rPr>
                <w:rFonts w:ascii="Arial" w:cs="Arial" w:eastAsia="Arial" w:hAnsi="Arial"/>
                <w:sz w:val="18"/>
                <w:szCs w:val="18"/>
                <w:color w:val="auto"/>
                <w:w w:val="91"/>
              </w:rPr>
              <w:t>Chengdu New Oriental Dogwood Book Audio &amp; Video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Beijing New Oriental Dogwood Book Audio &amp; Video Co., Ltd.</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3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15</w:t>
            </w:r>
          </w:p>
        </w:tc>
        <w:tc>
          <w:tcPr>
            <w:tcW w:w="5300" w:type="dxa"/>
            <w:vAlign w:val="bottom"/>
          </w:tcPr>
          <w:p>
            <w:pPr>
              <w:jc w:val="center"/>
              <w:spacing w:after="0"/>
              <w:rPr>
                <w:sz w:val="20"/>
                <w:szCs w:val="20"/>
                <w:color w:val="auto"/>
              </w:rPr>
            </w:pPr>
            <w:r>
              <w:rPr>
                <w:rFonts w:ascii="Arial" w:cs="Arial" w:eastAsia="Arial" w:hAnsi="Arial"/>
                <w:sz w:val="18"/>
                <w:szCs w:val="18"/>
                <w:color w:val="auto"/>
                <w:w w:val="91"/>
              </w:rPr>
              <w:t>Chongqing New Oriental Dogwood Book Audio &amp; Video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Beijing New Oriental Dogwood Book Audio &amp; Video Co., Ltd.</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3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16</w:t>
            </w:r>
          </w:p>
        </w:tc>
        <w:tc>
          <w:tcPr>
            <w:tcW w:w="5300" w:type="dxa"/>
            <w:vAlign w:val="bottom"/>
          </w:tcPr>
          <w:p>
            <w:pPr>
              <w:jc w:val="center"/>
              <w:spacing w:after="0"/>
              <w:rPr>
                <w:sz w:val="20"/>
                <w:szCs w:val="20"/>
                <w:color w:val="auto"/>
              </w:rPr>
            </w:pPr>
            <w:r>
              <w:rPr>
                <w:rFonts w:ascii="Arial" w:cs="Arial" w:eastAsia="Arial" w:hAnsi="Arial"/>
                <w:sz w:val="18"/>
                <w:szCs w:val="18"/>
                <w:color w:val="auto"/>
                <w:w w:val="91"/>
              </w:rPr>
              <w:t>Wuhan New Oriental Dogwood Book Audio &amp; Video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Beijing New Oriental Dogwood Book Audio &amp; Video Co., Ltd.</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3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17</w:t>
            </w:r>
          </w:p>
        </w:tc>
        <w:tc>
          <w:tcPr>
            <w:tcW w:w="5300" w:type="dxa"/>
            <w:vAlign w:val="bottom"/>
          </w:tcPr>
          <w:p>
            <w:pPr>
              <w:jc w:val="center"/>
              <w:spacing w:after="0"/>
              <w:rPr>
                <w:sz w:val="20"/>
                <w:szCs w:val="20"/>
                <w:color w:val="auto"/>
              </w:rPr>
            </w:pPr>
            <w:r>
              <w:rPr>
                <w:rFonts w:ascii="Arial" w:cs="Arial" w:eastAsia="Arial" w:hAnsi="Arial"/>
                <w:sz w:val="18"/>
                <w:szCs w:val="18"/>
                <w:color w:val="auto"/>
                <w:w w:val="91"/>
              </w:rPr>
              <w:t>Changchun New Oriental Dogwood Book Audio &amp; Video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Beijing New Oriental Dogwood Book Audio &amp; Video Co., Ltd.</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3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18</w:t>
            </w: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Changsha New Oriental Dogwood Book Audio &amp; Video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Beijing New Oriental Dogwood Book Audio &amp; Video Co., Ltd.</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3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19</w:t>
            </w:r>
          </w:p>
        </w:tc>
        <w:tc>
          <w:tcPr>
            <w:tcW w:w="5300" w:type="dxa"/>
            <w:vAlign w:val="bottom"/>
          </w:tcPr>
          <w:p>
            <w:pPr>
              <w:jc w:val="center"/>
              <w:spacing w:after="0"/>
              <w:rPr>
                <w:sz w:val="20"/>
                <w:szCs w:val="20"/>
                <w:color w:val="auto"/>
              </w:rPr>
            </w:pPr>
            <w:r>
              <w:rPr>
                <w:rFonts w:ascii="Arial" w:cs="Arial" w:eastAsia="Arial" w:hAnsi="Arial"/>
                <w:sz w:val="18"/>
                <w:szCs w:val="18"/>
                <w:color w:val="auto"/>
                <w:w w:val="91"/>
              </w:rPr>
              <w:t>Harbin New Oriental Dogwood Book Audio &amp; Video Sales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Beijing New Oriental Dogwood Book Audio &amp; Video Co., Ltd.</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3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Beijing New Oriental Dogwood Cultural Communications Co., Ltd.</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280" w:right="23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III – Pending or Threatened Legal Proceedings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 the</w:t>
            </w:r>
          </w:p>
        </w:tc>
        <w:tc>
          <w:tcPr>
            <w:tcW w:w="1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75"/>
        </w:trPr>
        <w:tc>
          <w:tcPr>
            <w:tcW w:w="32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Parties involved in the legal proceedings</w:t>
            </w:r>
          </w:p>
        </w:tc>
        <w:tc>
          <w:tcPr>
            <w:tcW w:w="100" w:type="dxa"/>
            <w:vAlign w:val="bottom"/>
          </w:tcPr>
          <w:p>
            <w:pPr>
              <w:spacing w:after="0"/>
              <w:rPr>
                <w:sz w:val="15"/>
                <w:szCs w:val="15"/>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Cause of the Claim</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Claim</w:t>
            </w:r>
          </w:p>
        </w:tc>
        <w:tc>
          <w:tcPr>
            <w:tcW w:w="120" w:type="dxa"/>
            <w:vAlign w:val="bottom"/>
          </w:tcPr>
          <w:p>
            <w:pPr>
              <w:spacing w:after="0"/>
              <w:rPr>
                <w:sz w:val="15"/>
                <w:szCs w:val="15"/>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Current Status</w:t>
            </w:r>
          </w:p>
        </w:tc>
      </w:tr>
      <w:tr>
        <w:trPr>
          <w:trHeight w:val="269"/>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1.</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Plaintiff: Ms. Julia Banner Alexander</w:t>
            </w:r>
          </w:p>
        </w:tc>
        <w:tc>
          <w:tcPr>
            <w:tcW w:w="100" w:type="dxa"/>
            <w:vAlign w:val="bottom"/>
          </w:tcPr>
          <w:p>
            <w:pPr>
              <w:spacing w:after="0"/>
              <w:rPr>
                <w:sz w:val="23"/>
                <w:szCs w:val="23"/>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2"/>
              </w:rPr>
              <w:t>Infringement of copyright of “New</w:t>
            </w:r>
          </w:p>
        </w:tc>
        <w:tc>
          <w:tcPr>
            <w:tcW w:w="100" w:type="dxa"/>
            <w:vAlign w:val="bottom"/>
          </w:tcPr>
          <w:p>
            <w:pPr>
              <w:spacing w:after="0"/>
              <w:rPr>
                <w:sz w:val="23"/>
                <w:szCs w:val="23"/>
                <w:color w:val="auto"/>
              </w:rPr>
            </w:pPr>
          </w:p>
        </w:tc>
        <w:tc>
          <w:tcPr>
            <w:tcW w:w="4420" w:type="dxa"/>
            <w:vAlign w:val="bottom"/>
            <w:gridSpan w:val="3"/>
          </w:tcPr>
          <w:p>
            <w:pPr>
              <w:ind w:left="80"/>
              <w:spacing w:after="0"/>
              <w:rPr>
                <w:sz w:val="20"/>
                <w:szCs w:val="20"/>
                <w:color w:val="auto"/>
              </w:rPr>
            </w:pPr>
            <w:r>
              <w:rPr>
                <w:rFonts w:ascii="Arial" w:cs="Arial" w:eastAsia="Arial" w:hAnsi="Arial"/>
                <w:sz w:val="18"/>
                <w:szCs w:val="18"/>
                <w:color w:val="auto"/>
                <w:w w:val="89"/>
              </w:rPr>
              <w:t>RMB1,000,000   Complaint has been served and the Parties</w:t>
            </w:r>
          </w:p>
        </w:tc>
      </w:tr>
      <w:tr>
        <w:trPr>
          <w:trHeight w:val="222"/>
        </w:trPr>
        <w:tc>
          <w:tcPr>
            <w:tcW w:w="3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Defendant: Beijing Xun Cheng</w:t>
            </w:r>
          </w:p>
        </w:tc>
        <w:tc>
          <w:tcPr>
            <w:tcW w:w="10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1"/>
              </w:rPr>
              <w:t>Concept English” owned by the Plaintiff</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9"/>
              </w:rPr>
              <w:t>are waiting for hearing</w:t>
            </w:r>
          </w:p>
        </w:tc>
      </w:tr>
      <w:tr>
        <w:trPr>
          <w:trHeight w:val="331"/>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Plaintiff: New Oriental China,</w:t>
            </w:r>
          </w:p>
        </w:tc>
        <w:tc>
          <w:tcPr>
            <w:tcW w:w="10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0"/>
              </w:rPr>
              <w:t>Infringement of Trademark Right</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RMB 500,000</w:t>
            </w:r>
          </w:p>
        </w:tc>
        <w:tc>
          <w:tcPr>
            <w:tcW w:w="12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6"/>
              </w:rPr>
              <w:t>Complaint has been served and the Parties</w:t>
            </w:r>
          </w:p>
        </w:tc>
      </w:tr>
      <w:tr>
        <w:trPr>
          <w:trHeight w:val="216"/>
        </w:trPr>
        <w:tc>
          <w:tcPr>
            <w:tcW w:w="3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Defendant: Zhejiang New Oriental Going</w:t>
            </w: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are preparing for submission of evidence</w:t>
            </w:r>
          </w:p>
        </w:tc>
      </w:tr>
      <w:tr>
        <w:trPr>
          <w:trHeight w:val="216"/>
        </w:trPr>
        <w:tc>
          <w:tcPr>
            <w:tcW w:w="3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Abroad Services Co., Ltd. and Zhejiang New</w:t>
            </w: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22"/>
        </w:trPr>
        <w:tc>
          <w:tcPr>
            <w:tcW w:w="3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Oriental School</w:t>
            </w:r>
          </w:p>
        </w:tc>
        <w:tc>
          <w:tcPr>
            <w:tcW w:w="1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331"/>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3.</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Plaintiff: New Oriental China,</w:t>
            </w:r>
          </w:p>
        </w:tc>
        <w:tc>
          <w:tcPr>
            <w:tcW w:w="10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0"/>
              </w:rPr>
              <w:t>Infringement of Trademark Right</w:t>
            </w:r>
          </w:p>
        </w:tc>
        <w:tc>
          <w:tcPr>
            <w:tcW w:w="100" w:type="dxa"/>
            <w:vAlign w:val="bottom"/>
          </w:tcPr>
          <w:p>
            <w:pPr>
              <w:spacing w:after="0"/>
              <w:rPr>
                <w:sz w:val="24"/>
                <w:szCs w:val="24"/>
                <w:color w:val="auto"/>
              </w:rPr>
            </w:pPr>
          </w:p>
        </w:tc>
        <w:tc>
          <w:tcPr>
            <w:tcW w:w="4420" w:type="dxa"/>
            <w:vAlign w:val="bottom"/>
            <w:gridSpan w:val="3"/>
          </w:tcPr>
          <w:p>
            <w:pPr>
              <w:ind w:left="120"/>
              <w:spacing w:after="0"/>
              <w:rPr>
                <w:sz w:val="20"/>
                <w:szCs w:val="20"/>
                <w:color w:val="auto"/>
              </w:rPr>
            </w:pPr>
            <w:r>
              <w:rPr>
                <w:rFonts w:ascii="Arial" w:cs="Arial" w:eastAsia="Arial" w:hAnsi="Arial"/>
                <w:sz w:val="18"/>
                <w:szCs w:val="18"/>
                <w:color w:val="auto"/>
                <w:w w:val="91"/>
              </w:rPr>
              <w:t>RMB 500,000   Hefei City Intermediate Court has accepted</w:t>
            </w:r>
          </w:p>
        </w:tc>
      </w:tr>
      <w:tr>
        <w:trPr>
          <w:trHeight w:val="216"/>
        </w:trPr>
        <w:tc>
          <w:tcPr>
            <w:tcW w:w="3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Defendant: Anhui New Oriental Cooking</w:t>
            </w: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the case. Currently, New Oriental China is</w:t>
            </w:r>
          </w:p>
        </w:tc>
      </w:tr>
      <w:tr>
        <w:trPr>
          <w:trHeight w:val="216"/>
        </w:trPr>
        <w:tc>
          <w:tcPr>
            <w:tcW w:w="3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School</w:t>
            </w: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9"/>
              </w:rPr>
              <w:t>in the course of negotiation with the</w:t>
            </w:r>
          </w:p>
        </w:tc>
      </w:tr>
      <w:tr>
        <w:trPr>
          <w:trHeight w:val="222"/>
        </w:trPr>
        <w:tc>
          <w:tcPr>
            <w:tcW w:w="3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9"/>
              </w:rPr>
              <w:t>Defendant</w:t>
            </w:r>
          </w:p>
        </w:tc>
      </w:tr>
      <w:tr>
        <w:trPr>
          <w:trHeight w:val="318"/>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4.</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Plaintiff: Gao Yonghao</w:t>
            </w:r>
          </w:p>
        </w:tc>
        <w:tc>
          <w:tcPr>
            <w:tcW w:w="10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9"/>
              </w:rPr>
              <w:t>Personal injury</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RMB 200,000</w:t>
            </w:r>
          </w:p>
        </w:tc>
        <w:tc>
          <w:tcPr>
            <w:tcW w:w="12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6"/>
              </w:rPr>
              <w:t>Complaint has been served and the Parties</w:t>
            </w:r>
          </w:p>
        </w:tc>
      </w:tr>
      <w:tr>
        <w:trPr>
          <w:trHeight w:val="216"/>
        </w:trPr>
        <w:tc>
          <w:tcPr>
            <w:tcW w:w="3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Defendant: Beijing Haidian District Private-</w:t>
            </w: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9"/>
              </w:rPr>
              <w:t>are waiting for hearing</w:t>
            </w:r>
          </w:p>
        </w:tc>
      </w:tr>
      <w:tr>
        <w:trPr>
          <w:trHeight w:val="222"/>
        </w:trPr>
        <w:tc>
          <w:tcPr>
            <w:tcW w:w="3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Funded New Oriental School and others</w:t>
            </w:r>
          </w:p>
        </w:tc>
        <w:tc>
          <w:tcPr>
            <w:tcW w:w="1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tcPr>
          <w:p>
            <w:pPr>
              <w:spacing w:after="0"/>
              <w:rPr>
                <w:sz w:val="19"/>
                <w:szCs w:val="19"/>
                <w:color w:val="auto"/>
              </w:rPr>
            </w:pPr>
          </w:p>
        </w:tc>
      </w:tr>
    </w:tbl>
    <w:p>
      <w:pPr>
        <w:sectPr>
          <w:pgSz w:w="11900" w:h="16838" w:orient="portrait"/>
          <w:cols w:equalWidth="0" w:num="1">
            <w:col w:w="11420"/>
          </w:cols>
          <w:pgMar w:left="240" w:top="279" w:right="2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IV – List of the Mortgaged Properties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4"/>
                <w:szCs w:val="14"/>
                <w:b w:val="1"/>
                <w:bCs w:val="1"/>
                <w:color w:val="auto"/>
              </w:rPr>
              <w:t>Name of the Property</w:t>
            </w:r>
          </w:p>
        </w:tc>
        <w:tc>
          <w:tcPr>
            <w:tcW w:w="10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2740" w:type="dxa"/>
            <w:vAlign w:val="bottom"/>
            <w:gridSpan w:val="2"/>
          </w:tcPr>
          <w:p>
            <w:pPr>
              <w:ind w:left="120"/>
              <w:spacing w:after="0"/>
              <w:rPr>
                <w:sz w:val="20"/>
                <w:szCs w:val="20"/>
                <w:color w:val="auto"/>
              </w:rPr>
            </w:pPr>
            <w:r>
              <w:rPr>
                <w:rFonts w:ascii="Arial" w:cs="Arial" w:eastAsia="Arial" w:hAnsi="Arial"/>
                <w:sz w:val="14"/>
                <w:szCs w:val="14"/>
                <w:b w:val="1"/>
                <w:bCs w:val="1"/>
                <w:color w:val="auto"/>
              </w:rPr>
              <w:t>Mortgagee</w:t>
            </w:r>
          </w:p>
        </w:tc>
        <w:tc>
          <w:tcPr>
            <w:tcW w:w="10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Debts Secured</w:t>
            </w:r>
          </w:p>
        </w:tc>
      </w:tr>
      <w:tr>
        <w:trPr>
          <w:trHeight w:val="20"/>
        </w:trPr>
        <w:tc>
          <w:tcPr>
            <w:tcW w:w="28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69"/>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1.</w:t>
            </w:r>
          </w:p>
        </w:tc>
        <w:tc>
          <w:tcPr>
            <w:tcW w:w="2960" w:type="dxa"/>
            <w:vAlign w:val="bottom"/>
          </w:tcPr>
          <w:p>
            <w:pPr>
              <w:spacing w:after="0"/>
              <w:rPr>
                <w:sz w:val="20"/>
                <w:szCs w:val="20"/>
                <w:color w:val="auto"/>
              </w:rPr>
            </w:pPr>
            <w:r>
              <w:rPr>
                <w:rFonts w:ascii="Arial" w:cs="Arial" w:eastAsia="Arial" w:hAnsi="Arial"/>
                <w:sz w:val="18"/>
                <w:szCs w:val="18"/>
                <w:color w:val="auto"/>
                <w:w w:val="88"/>
              </w:rPr>
              <w:t>Zhongguancun Financial Center, Tower B</w:t>
            </w:r>
          </w:p>
        </w:tc>
        <w:tc>
          <w:tcPr>
            <w:tcW w:w="10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No. 21, Part IV, West Block of</w:t>
            </w: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China Minsheng Banking</w:t>
            </w:r>
          </w:p>
        </w:tc>
        <w:tc>
          <w:tcPr>
            <w:tcW w:w="10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88"/>
              </w:rPr>
              <w:t>The loan granted by China Minsheng</w:t>
            </w:r>
          </w:p>
        </w:tc>
      </w:tr>
      <w:tr>
        <w:trPr>
          <w:trHeight w:val="216"/>
        </w:trPr>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Zhongguancun, Haidian District,</w:t>
            </w: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Corporation Ltd. Beijing Hepingli</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Banking Corporation Ltd. Beijing</w:t>
            </w:r>
          </w:p>
        </w:tc>
      </w:tr>
      <w:tr>
        <w:trPr>
          <w:trHeight w:val="216"/>
        </w:trPr>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Beijing</w:t>
            </w: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Sub-branch</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Hepingli Sub-branch to New</w:t>
            </w:r>
          </w:p>
        </w:tc>
      </w:tr>
      <w:tr>
        <w:trPr>
          <w:trHeight w:val="216"/>
        </w:trPr>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8"/>
              </w:rPr>
              <w:t>Oriental China for purchasing the</w:t>
            </w:r>
          </w:p>
        </w:tc>
      </w:tr>
      <w:tr>
        <w:trPr>
          <w:trHeight w:val="222"/>
        </w:trPr>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property</w:t>
            </w:r>
          </w:p>
        </w:tc>
      </w:tr>
      <w:tr>
        <w:trPr>
          <w:trHeight w:val="318"/>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2.</w:t>
            </w:r>
          </w:p>
        </w:tc>
        <w:tc>
          <w:tcPr>
            <w:tcW w:w="2960" w:type="dxa"/>
            <w:vAlign w:val="bottom"/>
          </w:tcPr>
          <w:p>
            <w:pPr>
              <w:spacing w:after="0"/>
              <w:rPr>
                <w:sz w:val="20"/>
                <w:szCs w:val="20"/>
                <w:color w:val="auto"/>
              </w:rPr>
            </w:pPr>
            <w:r>
              <w:rPr>
                <w:rFonts w:ascii="Arial" w:cs="Arial" w:eastAsia="Arial" w:hAnsi="Arial"/>
                <w:sz w:val="18"/>
                <w:szCs w:val="18"/>
                <w:color w:val="auto"/>
              </w:rPr>
              <w:t>Block No. 3-114-47</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w w:val="89"/>
              </w:rPr>
              <w:t>West side of Yangjiang Public Road,</w:t>
            </w: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3"/>
              </w:rPr>
              <w:t>Bank of Communication Yangzhou</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The loan granted by the Bank of</w:t>
            </w:r>
          </w:p>
        </w:tc>
      </w:tr>
      <w:tr>
        <w:trPr>
          <w:trHeight w:val="216"/>
        </w:trPr>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w w:val="92"/>
              </w:rPr>
              <w:t>Wantou County, Guangling District,</w:t>
            </w: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Branch</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88"/>
              </w:rPr>
              <w:t>Communication Yangzhou Branch to</w:t>
            </w:r>
          </w:p>
        </w:tc>
      </w:tr>
      <w:tr>
        <w:trPr>
          <w:trHeight w:val="216"/>
        </w:trPr>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w w:val="98"/>
              </w:rPr>
              <w:t>Yangzhou City, Jiangsu Province</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4"/>
              </w:rPr>
              <w:t>Yangzhou New Oriental Education</w:t>
            </w:r>
          </w:p>
        </w:tc>
      </w:tr>
      <w:tr>
        <w:trPr>
          <w:trHeight w:val="222"/>
        </w:trPr>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&amp; Technology Co., Ltd. for the</w:t>
            </w:r>
          </w:p>
        </w:tc>
      </w:tr>
    </w:tbl>
    <w:p>
      <w:pPr>
        <w:ind w:left="8800"/>
        <w:spacing w:after="0"/>
        <w:rPr>
          <w:sz w:val="20"/>
          <w:szCs w:val="20"/>
          <w:color w:val="auto"/>
        </w:rPr>
      </w:pPr>
      <w:r>
        <w:rPr>
          <w:rFonts w:ascii="Arial" w:cs="Arial" w:eastAsia="Arial" w:hAnsi="Arial"/>
          <w:sz w:val="18"/>
          <w:szCs w:val="18"/>
          <w:color w:val="auto"/>
        </w:rPr>
        <w:t>construction of the Beijing New</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6"/>
          <w:szCs w:val="16"/>
          <w:color w:val="auto"/>
        </w:rPr>
        <w:t>Oriental Yangzhou Bilingual School</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32AB86"/>
    <w:multiLevelType w:val="hybridMultilevel"/>
    <w:lvl w:ilvl="0">
      <w:lvlJc w:val="left"/>
      <w:lvlText w:val="%1"/>
      <w:numFmt w:val="decimal"/>
      <w:start w:val="111"/>
    </w:lvl>
    <w:lvl w:ilvl="1">
      <w:lvlJc w:val="left"/>
      <w:lvlText w:val="(%2)"/>
      <w:numFmt w:val="decimal"/>
      <w:start w:val="212"/>
    </w:lvl>
  </w:abstractNum>
  <w:abstractNum w:abstractNumId="1">
    <w:nsid w:val="3F07ACC3"/>
    <w:multiLevelType w:val="hybridMultilevel"/>
    <w:lvl w:ilvl="0">
      <w:lvlJc w:val="left"/>
      <w:lvlText w:val="(%1)"/>
      <w:numFmt w:val="decimal"/>
      <w:start w:val="1"/>
    </w:lvl>
  </w:abstractNum>
  <w:abstractNum w:abstractNumId="2">
    <w:nsid w:val="6B47F63E"/>
    <w:multiLevelType w:val="hybridMultilevel"/>
    <w:lvl w:ilvl="0">
      <w:lvlJc w:val="left"/>
      <w:lvlText w:val="•"/>
      <w:numFmt w:val="bullet"/>
      <w:start w:val="1"/>
    </w:lvl>
  </w:abstractNum>
  <w:abstractNum w:abstractNumId="3">
    <w:nsid w:val="5CB44A05"/>
    <w:multiLevelType w:val="hybridMultilevel"/>
    <w:lvl w:ilvl="0">
      <w:lvlJc w:val="left"/>
      <w:lvlText w:val="•"/>
      <w:numFmt w:val="bullet"/>
      <w:start w:val="1"/>
    </w:lvl>
  </w:abstractNum>
  <w:abstractNum w:abstractNumId="4">
    <w:nsid w:val="16CF80F1"/>
    <w:multiLevelType w:val="hybridMultilevel"/>
    <w:lvl w:ilvl="0">
      <w:lvlJc w:val="left"/>
      <w:lvlText w:val="•"/>
      <w:numFmt w:val="bullet"/>
      <w:start w:val="1"/>
    </w:lvl>
  </w:abstractNum>
  <w:abstractNum w:abstractNumId="5">
    <w:nsid w:val="1C695DEC"/>
    <w:multiLevelType w:val="hybridMultilevel"/>
    <w:lvl w:ilvl="0">
      <w:lvlJc w:val="left"/>
      <w:lvlText w:val="•"/>
      <w:numFmt w:val="bullet"/>
      <w:start w:val="1"/>
    </w:lvl>
  </w:abstractNum>
  <w:abstractNum w:abstractNumId="6">
    <w:nsid w:val="3FCFAED9"/>
    <w:multiLevelType w:val="hybridMultilevel"/>
    <w:lvl w:ilvl="0">
      <w:lvlJc w:val="left"/>
      <w:lvlText w:val="•"/>
      <w:numFmt w:val="bullet"/>
      <w:start w:val="1"/>
    </w:lvl>
  </w:abstractNum>
  <w:abstractNum w:abstractNumId="7">
    <w:nsid w:val="F856867"/>
    <w:multiLevelType w:val="hybridMultilevel"/>
    <w:lvl w:ilvl="0">
      <w:lvlJc w:val="left"/>
      <w:lvlText w:val="•"/>
      <w:numFmt w:val="bullet"/>
      <w:start w:val="1"/>
    </w:lvl>
  </w:abstractNum>
  <w:abstractNum w:abstractNumId="8">
    <w:nsid w:val="11B1CC33"/>
    <w:multiLevelType w:val="hybridMultilevel"/>
    <w:lvl w:ilvl="0">
      <w:lvlJc w:val="left"/>
      <w:lvlText w:val="(%1)"/>
      <w:numFmt w:val="decimal"/>
      <w:start w:val="2"/>
    </w:lvl>
  </w:abstractNum>
  <w:abstractNum w:abstractNumId="9">
    <w:nsid w:val="2E22FBB7"/>
    <w:multiLevelType w:val="hybridMultilevel"/>
    <w:lvl w:ilvl="0">
      <w:lvlJc w:val="left"/>
      <w:lvlText w:val="(%1)"/>
      <w:numFmt w:val="decimal"/>
      <w:start w:val="1"/>
    </w:lvl>
  </w:abstractNum>
  <w:abstractNum w:abstractNumId="10">
    <w:nsid w:val="29934699"/>
    <w:multiLevelType w:val="hybridMultilevel"/>
    <w:lvl w:ilvl="0">
      <w:lvlJc w:val="left"/>
      <w:lvlText w:val="•"/>
      <w:numFmt w:val="bullet"/>
      <w:start w:val="1"/>
    </w:lvl>
  </w:abstractNum>
  <w:abstractNum w:abstractNumId="11">
    <w:nsid w:val="77485850"/>
    <w:multiLevelType w:val="hybridMultilevel"/>
    <w:lvl w:ilvl="0">
      <w:lvlJc w:val="left"/>
      <w:lvlText w:val="•"/>
      <w:numFmt w:val="bullet"/>
      <w:start w:val="1"/>
    </w:lvl>
  </w:abstractNum>
  <w:abstractNum w:abstractNumId="12">
    <w:nsid w:val="744939A3"/>
    <w:multiLevelType w:val="hybridMultilevel"/>
    <w:lvl w:ilvl="0">
      <w:lvlJc w:val="left"/>
      <w:lvlText w:val="•"/>
      <w:numFmt w:val="bullet"/>
      <w:start w:val="1"/>
    </w:lvl>
  </w:abstractNum>
  <w:abstractNum w:abstractNumId="13">
    <w:nsid w:val="4FA0D2E3"/>
    <w:multiLevelType w:val="hybridMultilevel"/>
    <w:lvl w:ilvl="0">
      <w:lvlJc w:val="left"/>
      <w:lvlText w:val="•"/>
      <w:numFmt w:val="bullet"/>
      <w:start w:val="1"/>
    </w:lvl>
  </w:abstractNum>
  <w:abstractNum w:abstractNumId="14">
    <w:nsid w:val="6B1D2C14"/>
    <w:multiLevelType w:val="hybridMultilevel"/>
    <w:lvl w:ilvl="0">
      <w:lvlJc w:val="left"/>
      <w:lvlText w:val="•"/>
      <w:numFmt w:val="bullet"/>
      <w:start w:val="1"/>
    </w:lvl>
  </w:abstractNum>
  <w:abstractNum w:abstractNumId="15">
    <w:nsid w:val="68B867D3"/>
    <w:multiLevelType w:val="hybridMultilevel"/>
    <w:lvl w:ilvl="0">
      <w:lvlJc w:val="left"/>
      <w:lvlText w:val="•"/>
      <w:numFmt w:val="bullet"/>
      <w:start w:val="1"/>
    </w:lvl>
  </w:abstractNum>
  <w:abstractNum w:abstractNumId="16">
    <w:nsid w:val="3F7F5DD9"/>
    <w:multiLevelType w:val="hybridMultilevel"/>
    <w:lvl w:ilvl="0">
      <w:lvlJc w:val="left"/>
      <w:lvlText w:val="•"/>
      <w:numFmt w:val="bullet"/>
      <w:start w:val="1"/>
    </w:lvl>
  </w:abstractNum>
  <w:abstractNum w:abstractNumId="17">
    <w:nsid w:val="2AE05A34"/>
    <w:multiLevelType w:val="hybridMultilevel"/>
    <w:lvl w:ilvl="0">
      <w:lvlJc w:val="left"/>
      <w:lvlText w:val="•"/>
      <w:numFmt w:val="bullet"/>
      <w:start w:val="1"/>
    </w:lvl>
  </w:abstractNum>
  <w:abstractNum w:abstractNumId="18">
    <w:nsid w:val="32794FF7"/>
    <w:multiLevelType w:val="hybridMultilevel"/>
    <w:lvl w:ilvl="0">
      <w:lvlJc w:val="left"/>
      <w:lvlText w:val="•"/>
      <w:numFmt w:val="bullet"/>
      <w:start w:val="1"/>
    </w:lvl>
  </w:abstractNum>
  <w:abstractNum w:abstractNumId="19">
    <w:nsid w:val="5454945E"/>
    <w:multiLevelType w:val="hybridMultilevel"/>
    <w:lvl w:ilvl="0">
      <w:lvlJc w:val="left"/>
      <w:lvlText w:val="(%1)"/>
      <w:numFmt w:val="decimal"/>
      <w:start w:val="1"/>
    </w:lvl>
  </w:abstractNum>
  <w:abstractNum w:abstractNumId="20">
    <w:nsid w:val="4DEFDFA0"/>
    <w:multiLevelType w:val="hybridMultilevel"/>
    <w:lvl w:ilvl="0">
      <w:lvlJc w:val="left"/>
      <w:lvlText w:val="(%1)"/>
      <w:numFmt w:val="decimal"/>
      <w:start w:val="1"/>
    </w:lvl>
  </w:abstractNum>
  <w:abstractNum w:abstractNumId="21">
    <w:nsid w:val="2123D5F2"/>
    <w:multiLevelType w:val="hybridMultilevel"/>
    <w:lvl w:ilvl="0">
      <w:lvlJc w:val="left"/>
      <w:lvlText w:val="(%1)"/>
      <w:numFmt w:val="decimal"/>
      <w:start w:val="1"/>
    </w:lvl>
  </w:abstractNum>
  <w:abstractNum w:abstractNumId="22">
    <w:nsid w:val="135B8110"/>
    <w:multiLevelType w:val="hybridMultilevel"/>
    <w:lvl w:ilvl="0">
      <w:lvlJc w:val="left"/>
      <w:lvlText w:val="•"/>
      <w:numFmt w:val="bullet"/>
      <w:start w:val="1"/>
    </w:lvl>
  </w:abstractNum>
  <w:abstractNum w:abstractNumId="23">
    <w:nsid w:val="94927A8"/>
    <w:multiLevelType w:val="hybridMultilevel"/>
    <w:lvl w:ilvl="0">
      <w:lvlJc w:val="left"/>
      <w:lvlText w:val="•"/>
      <w:numFmt w:val="bullet"/>
      <w:start w:val="1"/>
    </w:lvl>
  </w:abstractNum>
  <w:abstractNum w:abstractNumId="24">
    <w:nsid w:val="DCDF8F6"/>
    <w:multiLevelType w:val="hybridMultilevel"/>
    <w:lvl w:ilvl="0">
      <w:lvlJc w:val="left"/>
      <w:lvlText w:val="•"/>
      <w:numFmt w:val="bullet"/>
      <w:start w:val="1"/>
    </w:lvl>
  </w:abstractNum>
  <w:abstractNum w:abstractNumId="25">
    <w:nsid w:val="52D7B105"/>
    <w:multiLevelType w:val="hybridMultilevel"/>
    <w:lvl w:ilvl="0">
      <w:lvlJc w:val="left"/>
      <w:lvlText w:val="•"/>
      <w:numFmt w:val="bullet"/>
      <w:start w:val="1"/>
    </w:lvl>
  </w:abstractNum>
  <w:abstractNum w:abstractNumId="26">
    <w:nsid w:val="2E8A6394"/>
    <w:multiLevelType w:val="hybridMultilevel"/>
    <w:lvl w:ilvl="0">
      <w:lvlJc w:val="left"/>
      <w:lvlText w:val="•"/>
      <w:numFmt w:val="bullet"/>
      <w:start w:val="1"/>
    </w:lvl>
  </w:abstractNum>
  <w:abstractNum w:abstractNumId="27">
    <w:nsid w:val="24E60401"/>
    <w:multiLevelType w:val="hybridMultilevel"/>
    <w:lvl w:ilvl="0">
      <w:lvlJc w:val="left"/>
      <w:lvlText w:val="•"/>
      <w:numFmt w:val="bullet"/>
      <w:start w:val="1"/>
    </w:lvl>
  </w:abstractNum>
  <w:abstractNum w:abstractNumId="28">
    <w:nsid w:val="2A6AD9BE"/>
    <w:multiLevelType w:val="hybridMultilevel"/>
    <w:lvl w:ilvl="0">
      <w:lvlJc w:val="left"/>
      <w:lvlText w:val="•"/>
      <w:numFmt w:val="bullet"/>
      <w:start w:val="1"/>
    </w:lvl>
  </w:abstractNum>
  <w:abstractNum w:abstractNumId="29">
    <w:nsid w:val="BAAC1B4"/>
    <w:multiLevelType w:val="hybridMultilevel"/>
    <w:lvl w:ilvl="0">
      <w:lvlJc w:val="left"/>
      <w:lvlText w:val="(%1)"/>
      <w:numFmt w:val="decimal"/>
      <w:start w:val="1"/>
    </w:lvl>
  </w:abstractNum>
  <w:abstractNum w:abstractNumId="30">
    <w:nsid w:val="36B2ACBC"/>
    <w:multiLevelType w:val="hybridMultilevel"/>
    <w:lvl w:ilvl="0">
      <w:lvlJc w:val="left"/>
      <w:lvlText w:val="(%1)"/>
      <w:numFmt w:val="decimal"/>
      <w:start w:val="1"/>
    </w:lvl>
  </w:abstractNum>
  <w:abstractNum w:abstractNumId="31">
    <w:nsid w:val="779D8544"/>
    <w:multiLevelType w:val="hybridMultilevel"/>
    <w:lvl w:ilvl="0">
      <w:lvlJc w:val="left"/>
      <w:lvlText w:val="•"/>
      <w:numFmt w:val="bullet"/>
      <w:start w:val="1"/>
    </w:lvl>
  </w:abstractNum>
  <w:abstractNum w:abstractNumId="32">
    <w:nsid w:val="4AB26E78"/>
    <w:multiLevelType w:val="hybridMultilevel"/>
    <w:lvl w:ilvl="0">
      <w:lvlJc w:val="left"/>
      <w:lvlText w:val="(%1)"/>
      <w:numFmt w:val="decimal"/>
      <w:start w:val="1"/>
    </w:lvl>
  </w:abstractNum>
  <w:abstractNum w:abstractNumId="33">
    <w:nsid w:val="21FAA2FA"/>
    <w:multiLevelType w:val="hybridMultilevel"/>
    <w:lvl w:ilvl="0">
      <w:lvlJc w:val="left"/>
      <w:lvlText w:val="(%1)"/>
      <w:numFmt w:val="decimal"/>
      <w:start w:val="1"/>
    </w:lvl>
  </w:abstractNum>
  <w:abstractNum w:abstractNumId="34">
    <w:nsid w:val="5451CF49"/>
    <w:multiLevelType w:val="hybridMultilevel"/>
    <w:lvl w:ilvl="0">
      <w:lvlJc w:val="left"/>
      <w:lvlText w:val="•"/>
      <w:numFmt w:val="bullet"/>
      <w:start w:val="1"/>
    </w:lvl>
  </w:abstractNum>
  <w:abstractNum w:abstractNumId="35">
    <w:nsid w:val="6181EF69"/>
    <w:multiLevelType w:val="hybridMultilevel"/>
    <w:lvl w:ilvl="0">
      <w:lvlJc w:val="left"/>
      <w:lvlText w:val="•"/>
      <w:numFmt w:val="bullet"/>
      <w:start w:val="1"/>
    </w:lvl>
  </w:abstractNum>
  <w:abstractNum w:abstractNumId="36">
    <w:nsid w:val="3E6400E6"/>
    <w:multiLevelType w:val="hybridMultilevel"/>
    <w:lvl w:ilvl="0">
      <w:lvlJc w:val="left"/>
      <w:lvlText w:val="•"/>
      <w:numFmt w:val="bullet"/>
      <w:start w:val="1"/>
    </w:lvl>
  </w:abstractNum>
  <w:abstractNum w:abstractNumId="37">
    <w:nsid w:val="14217E23"/>
    <w:multiLevelType w:val="hybridMultilevel"/>
    <w:lvl w:ilvl="0">
      <w:lvlJc w:val="left"/>
      <w:lvlText w:val="•"/>
      <w:numFmt w:val="bullet"/>
      <w:start w:val="1"/>
    </w:lvl>
  </w:abstractNum>
  <w:abstractNum w:abstractNumId="38">
    <w:nsid w:val="710757D0"/>
    <w:multiLevelType w:val="hybridMultilevel"/>
    <w:lvl w:ilvl="0">
      <w:lvlJc w:val="left"/>
      <w:lvlText w:val="(%1)"/>
      <w:numFmt w:val="lowerRoman"/>
      <w:start w:val="2"/>
    </w:lvl>
  </w:abstractNum>
  <w:abstractNum w:abstractNumId="39">
    <w:nsid w:val="5015CD1A"/>
    <w:multiLevelType w:val="hybridMultilevel"/>
    <w:lvl w:ilvl="0">
      <w:lvlJc w:val="left"/>
      <w:lvlText w:val="(%1)"/>
      <w:numFmt w:val="decimal"/>
      <w:start w:val="1"/>
    </w:lvl>
  </w:abstractNum>
  <w:abstractNum w:abstractNumId="40">
    <w:nsid w:val="424479DA"/>
    <w:multiLevelType w:val="hybridMultilevel"/>
    <w:lvl w:ilvl="0">
      <w:lvlJc w:val="left"/>
      <w:lvlText w:val="(%1)"/>
      <w:numFmt w:val="decimal"/>
      <w:start w:val="1"/>
    </w:lvl>
  </w:abstractNum>
  <w:abstractNum w:abstractNumId="41">
    <w:nsid w:val="1A9A9E69"/>
    <w:multiLevelType w:val="hybridMultilevel"/>
    <w:lvl w:ilvl="0">
      <w:lvlJc w:val="left"/>
      <w:lvlText w:val="•"/>
      <w:numFmt w:val="bullet"/>
      <w:start w:val="1"/>
    </w:lvl>
  </w:abstractNum>
  <w:abstractNum w:abstractNumId="42">
    <w:nsid w:val="475E256A"/>
    <w:multiLevelType w:val="hybridMultilevel"/>
    <w:lvl w:ilvl="0">
      <w:lvlJc w:val="left"/>
      <w:lvlText w:val="•"/>
      <w:numFmt w:val="bullet"/>
      <w:start w:val="1"/>
    </w:lvl>
  </w:abstractNum>
  <w:abstractNum w:abstractNumId="43">
    <w:nsid w:val="368DB37E"/>
    <w:multiLevelType w:val="hybridMultilevel"/>
    <w:lvl w:ilvl="0">
      <w:lvlJc w:val="left"/>
      <w:lvlText w:val="•"/>
      <w:numFmt w:val="bullet"/>
      <w:start w:val="1"/>
    </w:lvl>
  </w:abstractNum>
  <w:abstractNum w:abstractNumId="44">
    <w:nsid w:val="6A3B714C"/>
    <w:multiLevelType w:val="hybridMultilevel"/>
    <w:lvl w:ilvl="0">
      <w:lvlJc w:val="left"/>
      <w:lvlText w:val="•"/>
      <w:numFmt w:val="bullet"/>
      <w:start w:val="1"/>
    </w:lvl>
  </w:abstractNum>
  <w:abstractNum w:abstractNumId="45">
    <w:nsid w:val="327B517E"/>
    <w:multiLevelType w:val="hybridMultilevel"/>
    <w:lvl w:ilvl="0">
      <w:lvlJc w:val="left"/>
      <w:lvlText w:val="•"/>
      <w:numFmt w:val="bullet"/>
      <w:start w:val="1"/>
    </w:lvl>
  </w:abstractNum>
  <w:abstractNum w:abstractNumId="46">
    <w:nsid w:val="1F461B51"/>
    <w:multiLevelType w:val="hybridMultilevel"/>
    <w:lvl w:ilvl="0">
      <w:lvlJc w:val="left"/>
      <w:lvlText w:val="•"/>
      <w:numFmt w:val="bullet"/>
      <w:start w:val="1"/>
    </w:lvl>
  </w:abstractNum>
  <w:abstractNum w:abstractNumId="47">
    <w:nsid w:val="29BACF25"/>
    <w:multiLevelType w:val="hybridMultilevel"/>
    <w:lvl w:ilvl="0">
      <w:lvlJc w:val="left"/>
      <w:lvlText w:val="•"/>
      <w:numFmt w:val="bullet"/>
      <w:start w:val="1"/>
    </w:lvl>
  </w:abstractNum>
  <w:abstractNum w:abstractNumId="48">
    <w:nsid w:val="5D5BABB3"/>
    <w:multiLevelType w:val="hybridMultilevel"/>
    <w:lvl w:ilvl="0">
      <w:lvlJc w:val="left"/>
      <w:lvlText w:val="•"/>
      <w:numFmt w:val="bullet"/>
      <w:start w:val="1"/>
    </w:lvl>
  </w:abstractNum>
  <w:abstractNum w:abstractNumId="49">
    <w:nsid w:val="51BF6B48"/>
    <w:multiLevelType w:val="hybridMultilevel"/>
    <w:lvl w:ilvl="0">
      <w:lvlJc w:val="left"/>
      <w:lvlText w:val="•"/>
      <w:numFmt w:val="bullet"/>
      <w:start w:val="1"/>
    </w:lvl>
  </w:abstractNum>
  <w:abstractNum w:abstractNumId="50">
    <w:nsid w:val="7E0F6384"/>
    <w:multiLevelType w:val="hybridMultilevel"/>
    <w:lvl w:ilvl="0">
      <w:lvlJc w:val="left"/>
      <w:lvlText w:val="•"/>
      <w:numFmt w:val="bullet"/>
      <w:start w:val="1"/>
    </w:lvl>
  </w:abstractNum>
  <w:abstractNum w:abstractNumId="51">
    <w:nsid w:val="2B4B8B53"/>
    <w:multiLevelType w:val="hybridMultilevel"/>
    <w:lvl w:ilvl="0">
      <w:lvlJc w:val="left"/>
      <w:lvlText w:val="•"/>
      <w:numFmt w:val="bullet"/>
      <w:start w:val="1"/>
    </w:lvl>
  </w:abstractNum>
  <w:abstractNum w:abstractNumId="52">
    <w:nsid w:val="72E3413A"/>
    <w:multiLevelType w:val="hybridMultilevel"/>
    <w:lvl w:ilvl="0">
      <w:lvlJc w:val="left"/>
      <w:lvlText w:val="•"/>
      <w:numFmt w:val="bullet"/>
      <w:start w:val="1"/>
    </w:lvl>
  </w:abstractNum>
  <w:abstractNum w:abstractNumId="53">
    <w:nsid w:val="116AE494"/>
    <w:multiLevelType w:val="hybridMultilevel"/>
    <w:lvl w:ilvl="0">
      <w:lvlJc w:val="left"/>
      <w:lvlText w:val="•"/>
      <w:numFmt w:val="bullet"/>
      <w:start w:val="1"/>
    </w:lvl>
  </w:abstractNum>
  <w:abstractNum w:abstractNumId="54">
    <w:nsid w:val="3494B2FB"/>
    <w:multiLevelType w:val="hybridMultilevel"/>
    <w:lvl w:ilvl="0">
      <w:lvlJc w:val="left"/>
      <w:lvlText w:val="•"/>
      <w:numFmt w:val="bullet"/>
      <w:start w:val="1"/>
    </w:lvl>
  </w:abstractNum>
  <w:abstractNum w:abstractNumId="55">
    <w:nsid w:val="B13A31"/>
    <w:multiLevelType w:val="hybridMultilevel"/>
    <w:lvl w:ilvl="0">
      <w:lvlJc w:val="left"/>
      <w:lvlText w:val="•"/>
      <w:numFmt w:val="bullet"/>
      <w:start w:val="1"/>
    </w:lvl>
  </w:abstractNum>
  <w:abstractNum w:abstractNumId="56">
    <w:nsid w:val="64429599"/>
    <w:multiLevelType w:val="hybridMultilevel"/>
    <w:lvl w:ilvl="0">
      <w:lvlJc w:val="left"/>
      <w:lvlText w:val="•"/>
      <w:numFmt w:val="bullet"/>
      <w:start w:val="1"/>
    </w:lvl>
  </w:abstractNum>
  <w:abstractNum w:abstractNumId="57">
    <w:nsid w:val="631F1690"/>
    <w:multiLevelType w:val="hybridMultilevel"/>
    <w:lvl w:ilvl="0">
      <w:lvlJc w:val="left"/>
      <w:lvlText w:val="•"/>
      <w:numFmt w:val="bullet"/>
      <w:start w:val="1"/>
    </w:lvl>
  </w:abstractNum>
  <w:abstractNum w:abstractNumId="58">
    <w:nsid w:val="25973E32"/>
    <w:multiLevelType w:val="hybridMultilevel"/>
    <w:lvl w:ilvl="0">
      <w:lvlJc w:val="left"/>
      <w:lvlText w:val="*"/>
      <w:numFmt w:val="bullet"/>
      <w:start w:val="1"/>
    </w:lvl>
  </w:abstractNum>
  <w:abstractNum w:abstractNumId="59">
    <w:nsid w:val="EAD6F57"/>
    <w:multiLevelType w:val="hybridMultilevel"/>
    <w:lvl w:ilvl="0">
      <w:lvlJc w:val="left"/>
      <w:lvlText w:val="•"/>
      <w:numFmt w:val="bullet"/>
      <w:start w:val="1"/>
    </w:lvl>
  </w:abstractNum>
  <w:abstractNum w:abstractNumId="60">
    <w:nsid w:val="6EC9D844"/>
    <w:multiLevelType w:val="hybridMultilevel"/>
    <w:lvl w:ilvl="0">
      <w:lvlJc w:val="left"/>
      <w:lvlText w:val="•"/>
      <w:numFmt w:val="bullet"/>
      <w:start w:val="1"/>
    </w:lvl>
  </w:abstractNum>
  <w:abstractNum w:abstractNumId="61">
    <w:nsid w:val="5C49EAEE"/>
    <w:multiLevelType w:val="hybridMultilevel"/>
    <w:lvl w:ilvl="0">
      <w:lvlJc w:val="left"/>
      <w:lvlText w:val="•"/>
      <w:numFmt w:val="bullet"/>
      <w:start w:val="1"/>
    </w:lvl>
  </w:abstractNum>
  <w:abstractNum w:abstractNumId="62">
    <w:nsid w:val="64AF49B"/>
    <w:multiLevelType w:val="hybridMultilevel"/>
    <w:lvl w:ilvl="0">
      <w:lvlJc w:val="left"/>
      <w:lvlText w:val="*"/>
      <w:numFmt w:val="bullet"/>
      <w:start w:val="1"/>
    </w:lvl>
    <w:lvl w:ilvl="1">
      <w:lvlJc w:val="left"/>
      <w:lvlText w:val="•"/>
      <w:numFmt w:val="bullet"/>
      <w:start w:val="1"/>
    </w:lvl>
  </w:abstractNum>
  <w:abstractNum w:abstractNumId="63">
    <w:nsid w:val="397C46BC"/>
    <w:multiLevelType w:val="hybridMultilevel"/>
    <w:lvl w:ilvl="0">
      <w:lvlJc w:val="left"/>
      <w:lvlText w:val="•"/>
      <w:numFmt w:val="bullet"/>
      <w:start w:val="1"/>
    </w:lvl>
  </w:abstractNum>
  <w:abstractNum w:abstractNumId="64">
    <w:nsid w:val="7E448DE9"/>
    <w:multiLevelType w:val="hybridMultilevel"/>
    <w:lvl w:ilvl="0">
      <w:lvlJc w:val="left"/>
      <w:lvlText w:val="*"/>
      <w:numFmt w:val="bullet"/>
      <w:start w:val="1"/>
    </w:lvl>
  </w:abstractNum>
  <w:abstractNum w:abstractNumId="65">
    <w:nsid w:val="5A9CC3E5"/>
    <w:multiLevelType w:val="hybridMultilevel"/>
    <w:lvl w:ilvl="0">
      <w:lvlJc w:val="left"/>
      <w:lvlText w:val="(%1)"/>
      <w:numFmt w:val="decimal"/>
      <w:start w:val="1"/>
    </w:lvl>
  </w:abstractNum>
  <w:abstractNum w:abstractNumId="66">
    <w:nsid w:val="1AFE3625"/>
    <w:multiLevelType w:val="hybridMultilevel"/>
    <w:lvl w:ilvl="0">
      <w:lvlJc w:val="left"/>
      <w:lvlText w:val="(%1)"/>
      <w:numFmt w:val="decimal"/>
      <w:start w:val="6"/>
    </w:lvl>
  </w:abstractNum>
  <w:abstractNum w:abstractNumId="67">
    <w:nsid w:val="3CA88ECF"/>
    <w:multiLevelType w:val="hybridMultilevel"/>
    <w:lvl w:ilvl="0">
      <w:lvlJc w:val="left"/>
      <w:lvlText w:val="•"/>
      <w:numFmt w:val="bullet"/>
      <w:start w:val="1"/>
    </w:lvl>
  </w:abstractNum>
  <w:abstractNum w:abstractNumId="68">
    <w:nsid w:val="6EBE4208"/>
    <w:multiLevelType w:val="hybridMultilevel"/>
    <w:lvl w:ilvl="0">
      <w:lvlJc w:val="left"/>
      <w:lvlText w:val="•"/>
      <w:numFmt w:val="bullet"/>
      <w:start w:val="1"/>
    </w:lvl>
  </w:abstractNum>
  <w:abstractNum w:abstractNumId="69">
    <w:nsid w:val="C058DF5"/>
    <w:multiLevelType w:val="hybridMultilevel"/>
    <w:lvl w:ilvl="0">
      <w:lvlJc w:val="left"/>
      <w:lvlText w:val="(%1)"/>
      <w:numFmt w:val="decimal"/>
      <w:start w:val="3"/>
    </w:lvl>
  </w:abstractNum>
  <w:abstractNum w:abstractNumId="70">
    <w:nsid w:val="CBE5BE9"/>
    <w:multiLevelType w:val="hybridMultilevel"/>
    <w:lvl w:ilvl="0">
      <w:lvlJc w:val="left"/>
      <w:lvlText w:val="•"/>
      <w:numFmt w:val="bullet"/>
      <w:start w:val="1"/>
    </w:lvl>
  </w:abstractNum>
  <w:abstractNum w:abstractNumId="71">
    <w:nsid w:val="3102BBE2"/>
    <w:multiLevelType w:val="hybridMultilevel"/>
    <w:lvl w:ilvl="0">
      <w:lvlJc w:val="left"/>
      <w:lvlText w:val="•"/>
      <w:numFmt w:val="bullet"/>
      <w:start w:val="1"/>
    </w:lvl>
  </w:abstractNum>
  <w:abstractNum w:abstractNumId="72">
    <w:nsid w:val="26A02C5E"/>
    <w:multiLevelType w:val="hybridMultilevel"/>
    <w:lvl w:ilvl="0">
      <w:lvlJc w:val="left"/>
      <w:lvlText w:val="•"/>
      <w:numFmt w:val="bullet"/>
      <w:start w:val="1"/>
    </w:lvl>
  </w:abstractNum>
  <w:abstractNum w:abstractNumId="73">
    <w:nsid w:val="541C8153"/>
    <w:multiLevelType w:val="hybridMultilevel"/>
    <w:lvl w:ilvl="0">
      <w:lvlJc w:val="left"/>
      <w:lvlText w:val="•"/>
      <w:numFmt w:val="bullet"/>
      <w:start w:val="1"/>
    </w:lvl>
  </w:abstractNum>
  <w:abstractNum w:abstractNumId="74">
    <w:nsid w:val="67906F60"/>
    <w:multiLevelType w:val="hybridMultilevel"/>
    <w:lvl w:ilvl="0">
      <w:lvlJc w:val="left"/>
      <w:lvlText w:val="•"/>
      <w:numFmt w:val="bullet"/>
      <w:start w:val="1"/>
    </w:lvl>
  </w:abstractNum>
  <w:abstractNum w:abstractNumId="75">
    <w:nsid w:val="10DB9DAA"/>
    <w:multiLevelType w:val="hybridMultilevel"/>
    <w:lvl w:ilvl="0">
      <w:lvlJc w:val="left"/>
      <w:lvlText w:val="•"/>
      <w:numFmt w:val="bullet"/>
      <w:start w:val="1"/>
    </w:lvl>
  </w:abstractNum>
  <w:abstractNum w:abstractNumId="76">
    <w:nsid w:val="697D2D2"/>
    <w:multiLevelType w:val="hybridMultilevel"/>
    <w:lvl w:ilvl="0">
      <w:lvlJc w:val="left"/>
      <w:lvlText w:val="•"/>
      <w:numFmt w:val="bullet"/>
      <w:start w:val="1"/>
    </w:lvl>
  </w:abstractNum>
  <w:abstractNum w:abstractNumId="77">
    <w:nsid w:val="6D68AB2"/>
    <w:multiLevelType w:val="hybridMultilevel"/>
    <w:lvl w:ilvl="0">
      <w:lvlJc w:val="left"/>
      <w:lvlText w:val="•"/>
      <w:numFmt w:val="bullet"/>
      <w:start w:val="1"/>
    </w:lvl>
  </w:abstractNum>
  <w:abstractNum w:abstractNumId="78">
    <w:nsid w:val="3A966CD0"/>
    <w:multiLevelType w:val="hybridMultilevel"/>
    <w:lvl w:ilvl="0">
      <w:lvlJc w:val="left"/>
      <w:lvlText w:val="•"/>
      <w:numFmt w:val="bullet"/>
      <w:start w:val="1"/>
    </w:lvl>
  </w:abstractNum>
  <w:abstractNum w:abstractNumId="79">
    <w:nsid w:val="63F37E85"/>
    <w:multiLevelType w:val="hybridMultilevel"/>
    <w:lvl w:ilvl="0">
      <w:lvlJc w:val="left"/>
      <w:lvlText w:val="•"/>
      <w:numFmt w:val="bullet"/>
      <w:start w:val="1"/>
    </w:lvl>
  </w:abstractNum>
  <w:abstractNum w:abstractNumId="80">
    <w:nsid w:val="5895F5FA"/>
    <w:multiLevelType w:val="hybridMultilevel"/>
    <w:lvl w:ilvl="0">
      <w:lvlJc w:val="left"/>
      <w:lvlText w:val="•"/>
      <w:numFmt w:val="bullet"/>
      <w:start w:val="1"/>
    </w:lvl>
  </w:abstractNum>
  <w:abstractNum w:abstractNumId="81">
    <w:nsid w:val="38A5D054"/>
    <w:multiLevelType w:val="hybridMultilevel"/>
    <w:lvl w:ilvl="0">
      <w:lvlJc w:val="left"/>
      <w:lvlText w:val="•"/>
      <w:numFmt w:val="bullet"/>
      <w:start w:val="1"/>
    </w:lvl>
  </w:abstractNum>
  <w:abstractNum w:abstractNumId="82">
    <w:nsid w:val="F3F09D8"/>
    <w:multiLevelType w:val="hybridMultilevel"/>
    <w:lvl w:ilvl="0">
      <w:lvlJc w:val="left"/>
      <w:lvlText w:val="•"/>
      <w:numFmt w:val="bullet"/>
      <w:start w:val="1"/>
    </w:lvl>
  </w:abstractNum>
  <w:abstractNum w:abstractNumId="83">
    <w:nsid w:val="4B793735"/>
    <w:multiLevelType w:val="hybridMultilevel"/>
    <w:lvl w:ilvl="0">
      <w:lvlJc w:val="left"/>
      <w:lvlText w:val="•"/>
      <w:numFmt w:val="bullet"/>
      <w:start w:val="1"/>
    </w:lvl>
  </w:abstractNum>
  <w:abstractNum w:abstractNumId="84">
    <w:nsid w:val="4A10B4E8"/>
    <w:multiLevelType w:val="hybridMultilevel"/>
    <w:lvl w:ilvl="0">
      <w:lvlJc w:val="left"/>
      <w:lvlText w:val="•"/>
      <w:numFmt w:val="bullet"/>
      <w:start w:val="1"/>
    </w:lvl>
  </w:abstractNum>
  <w:abstractNum w:abstractNumId="85">
    <w:nsid w:val="43D3BCD4"/>
    <w:multiLevelType w:val="hybridMultilevel"/>
    <w:lvl w:ilvl="0">
      <w:lvlJc w:val="left"/>
      <w:lvlText w:val="•"/>
      <w:numFmt w:val="bullet"/>
      <w:start w:val="1"/>
    </w:lvl>
  </w:abstractNum>
  <w:abstractNum w:abstractNumId="86">
    <w:nsid w:val="4C2A7166"/>
    <w:multiLevelType w:val="hybridMultilevel"/>
    <w:lvl w:ilvl="0">
      <w:lvlJc w:val="left"/>
      <w:lvlText w:val="(%1)"/>
      <w:numFmt w:val="decimal"/>
      <w:start w:val="1"/>
    </w:lvl>
  </w:abstractNum>
  <w:abstractNum w:abstractNumId="87">
    <w:nsid w:val="2E534A82"/>
    <w:multiLevelType w:val="hybridMultilevel"/>
    <w:lvl w:ilvl="0">
      <w:lvlJc w:val="left"/>
      <w:lvlText w:val="•"/>
      <w:numFmt w:val="bullet"/>
      <w:start w:val="1"/>
    </w:lvl>
  </w:abstractNum>
  <w:abstractNum w:abstractNumId="88">
    <w:nsid w:val="26F2D364"/>
    <w:multiLevelType w:val="hybridMultilevel"/>
    <w:lvl w:ilvl="0">
      <w:lvlJc w:val="left"/>
      <w:lvlText w:val="•"/>
      <w:numFmt w:val="bullet"/>
      <w:start w:val="1"/>
    </w:lvl>
  </w:abstractNum>
  <w:abstractNum w:abstractNumId="89">
    <w:nsid w:val="71C1AF98"/>
    <w:multiLevelType w:val="hybridMultilevel"/>
    <w:lvl w:ilvl="0">
      <w:lvlJc w:val="left"/>
      <w:lvlText w:val="•"/>
      <w:numFmt w:val="bullet"/>
      <w:start w:val="1"/>
    </w:lvl>
    <w:lvl w:ilvl="1">
      <w:lvlJc w:val="left"/>
      <w:lvlText w:val="•"/>
      <w:numFmt w:val="bullet"/>
      <w:start w:val="1"/>
    </w:lvl>
  </w:abstractNum>
  <w:abstractNum w:abstractNumId="90">
    <w:nsid w:val="3D00B9D9"/>
    <w:multiLevelType w:val="hybridMultilevel"/>
    <w:lvl w:ilvl="0">
      <w:lvlJc w:val="left"/>
      <w:lvlText w:val="•"/>
      <w:numFmt w:val="bullet"/>
      <w:start w:val="1"/>
    </w:lvl>
  </w:abstractNum>
  <w:abstractNum w:abstractNumId="91">
    <w:nsid w:val="15BCABA8"/>
    <w:multiLevelType w:val="hybridMultilevel"/>
    <w:lvl w:ilvl="0">
      <w:lvlJc w:val="left"/>
      <w:lvlText w:val="%1."/>
      <w:numFmt w:val="decimal"/>
      <w:start w:val="1"/>
    </w:lvl>
  </w:abstractNum>
  <w:abstractNum w:abstractNumId="92">
    <w:nsid w:val="4E0B9A87"/>
    <w:multiLevelType w:val="hybridMultilevel"/>
    <w:lvl w:ilvl="0">
      <w:lvlJc w:val="left"/>
      <w:lvlText w:val="%1."/>
      <w:numFmt w:val="decimal"/>
      <w:start w:val="1"/>
    </w:lvl>
  </w:abstractNum>
  <w:abstractNum w:abstractNumId="93">
    <w:nsid w:val="434BAE75"/>
    <w:multiLevelType w:val="hybridMultilevel"/>
    <w:lvl w:ilvl="0">
      <w:lvlJc w:val="left"/>
      <w:lvlText w:val="%1."/>
      <w:numFmt w:val="decimal"/>
      <w:start w:val="1"/>
    </w:lvl>
  </w:abstractNum>
  <w:abstractNum w:abstractNumId="94">
    <w:nsid w:val="4F38F265"/>
    <w:multiLevelType w:val="hybridMultilevel"/>
    <w:lvl w:ilvl="0">
      <w:lvlJc w:val="left"/>
      <w:lvlText w:val="(%1)"/>
      <w:numFmt w:val="lowerRoman"/>
      <w:start w:val="1"/>
    </w:lvl>
  </w:abstractNum>
  <w:abstractNum w:abstractNumId="95">
    <w:nsid w:val="4C502870"/>
    <w:multiLevelType w:val="hybridMultilevel"/>
    <w:lvl w:ilvl="0">
      <w:lvlJc w:val="left"/>
      <w:lvlText w:val="%1."/>
      <w:numFmt w:val="decimal"/>
      <w:start w:val="1"/>
    </w:lvl>
  </w:abstractNum>
  <w:abstractNum w:abstractNumId="96">
    <w:nsid w:val="1DE8725A"/>
    <w:multiLevelType w:val="hybridMultilevel"/>
    <w:lvl w:ilvl="0">
      <w:lvlJc w:val="left"/>
      <w:lvlText w:val="%1."/>
      <w:numFmt w:val="decimal"/>
      <w:start w:val="2"/>
    </w:lvl>
  </w:abstractNum>
  <w:abstractNum w:abstractNumId="97">
    <w:nsid w:val="6A37288A"/>
    <w:multiLevelType w:val="hybridMultilevel"/>
    <w:lvl w:ilvl="0">
      <w:lvlJc w:val="left"/>
      <w:lvlText w:val="%1."/>
      <w:numFmt w:val="decimal"/>
      <w:start w:val="2"/>
    </w:lvl>
  </w:abstractNum>
  <w:abstractNum w:abstractNumId="98">
    <w:nsid w:val="8F8B73F"/>
    <w:multiLevelType w:val="hybridMultilevel"/>
    <w:lvl w:ilvl="0">
      <w:lvlJc w:val="left"/>
      <w:lvlText w:val="%1."/>
      <w:numFmt w:val="decimal"/>
      <w:start w:val="2"/>
    </w:lvl>
    <w:lvl w:ilvl="1">
      <w:lvlJc w:val="left"/>
      <w:lvlText w:val="%2)"/>
      <w:numFmt w:val="lowerLetter"/>
      <w:start w:val="2"/>
    </w:lvl>
  </w:abstractNum>
  <w:abstractNum w:abstractNumId="99">
    <w:nsid w:val="CA6B462"/>
    <w:multiLevelType w:val="hybridMultilevel"/>
    <w:lvl w:ilvl="0">
      <w:lvlJc w:val="left"/>
      <w:lvlText w:val="%1."/>
      <w:numFmt w:val="decimal"/>
      <w:start w:val="2"/>
    </w:lvl>
  </w:abstractNum>
  <w:abstractNum w:abstractNumId="100">
    <w:nsid w:val="763CB680"/>
    <w:multiLevelType w:val="hybridMultilevel"/>
    <w:lvl w:ilvl="0">
      <w:lvlJc w:val="left"/>
      <w:lvlText w:val="%1."/>
      <w:numFmt w:val="decimal"/>
      <w:start w:val="2"/>
    </w:lvl>
  </w:abstractNum>
  <w:abstractNum w:abstractNumId="101">
    <w:nsid w:val="15B71329"/>
    <w:multiLevelType w:val="hybridMultilevel"/>
    <w:lvl w:ilvl="0">
      <w:lvlJc w:val="left"/>
      <w:lvlText w:val="%1."/>
      <w:numFmt w:val="decimal"/>
      <w:start w:val="2"/>
    </w:lvl>
  </w:abstractNum>
  <w:abstractNum w:abstractNumId="102">
    <w:nsid w:val="3DA97044"/>
    <w:multiLevelType w:val="hybridMultilevel"/>
    <w:lvl w:ilvl="0">
      <w:lvlJc w:val="left"/>
      <w:lvlText w:val="%1."/>
      <w:numFmt w:val="decimal"/>
      <w:start w:val="3"/>
    </w:lvl>
  </w:abstractNum>
  <w:abstractNum w:abstractNumId="103">
    <w:nsid w:val="1CDCE2DE"/>
    <w:multiLevelType w:val="hybridMultilevel"/>
    <w:lvl w:ilvl="0">
      <w:lvlJc w:val="left"/>
      <w:lvlText w:val="%1."/>
      <w:numFmt w:val="decimal"/>
      <w:start w:val="4"/>
    </w:lvl>
  </w:abstractNum>
  <w:abstractNum w:abstractNumId="104">
    <w:nsid w:val="69D3947C"/>
    <w:multiLevelType w:val="hybridMultilevel"/>
    <w:lvl w:ilvl="0">
      <w:lvlJc w:val="left"/>
      <w:lvlText w:val="%1."/>
      <w:numFmt w:val="decimal"/>
      <w:start w:val="6"/>
    </w:lvl>
  </w:abstractNum>
  <w:abstractNum w:abstractNumId="105">
    <w:nsid w:val="2539DFA5"/>
    <w:multiLevelType w:val="hybridMultilevel"/>
    <w:lvl w:ilvl="0">
      <w:lvlJc w:val="left"/>
      <w:lvlText w:val="%1."/>
      <w:numFmt w:val="decimal"/>
      <w:start w:val="8"/>
    </w:lvl>
  </w:abstractNum>
  <w:abstractNum w:abstractNumId="106">
    <w:nsid w:val="2DB88089"/>
    <w:multiLevelType w:val="hybridMultilevel"/>
    <w:lvl w:ilvl="0">
      <w:lvlJc w:val="left"/>
      <w:lvlText w:val="%1."/>
      <w:numFmt w:val="decimal"/>
      <w:start w:val="9"/>
    </w:lvl>
  </w:abstractNum>
  <w:abstractNum w:abstractNumId="107">
    <w:nsid w:val="706B674E"/>
    <w:multiLevelType w:val="hybridMultilevel"/>
    <w:lvl w:ilvl="0">
      <w:lvlJc w:val="left"/>
      <w:lvlText w:val="(%1)"/>
      <w:numFmt w:val="lowerLetter"/>
      <w:start w:val="1"/>
    </w:lvl>
  </w:abstractNum>
  <w:abstractNum w:abstractNumId="108">
    <w:nsid w:val="2C106A57"/>
    <w:multiLevelType w:val="hybridMultilevel"/>
    <w:lvl w:ilvl="0">
      <w:lvlJc w:val="left"/>
      <w:lvlText w:val="%1."/>
      <w:numFmt w:val="decimal"/>
      <w:start w:val="10"/>
    </w:lvl>
  </w:abstractNum>
  <w:abstractNum w:abstractNumId="109">
    <w:nsid w:val="684EED59"/>
    <w:multiLevelType w:val="hybridMultilevel"/>
    <w:lvl w:ilvl="0">
      <w:lvlJc w:val="left"/>
      <w:lvlText w:val="(%1)"/>
      <w:numFmt w:val="lowerLetter"/>
      <w:start w:val="2"/>
    </w:lvl>
  </w:abstractNum>
  <w:abstractNum w:abstractNumId="110">
    <w:nsid w:val="545EE5D3"/>
    <w:multiLevelType w:val="hybridMultilevel"/>
    <w:lvl w:ilvl="0">
      <w:lvlJc w:val="left"/>
      <w:lvlText w:val="%1."/>
      <w:numFmt w:val="decimal"/>
      <w:start w:val="11"/>
    </w:lvl>
  </w:abstractNum>
  <w:abstractNum w:abstractNumId="111">
    <w:nsid w:val="4A66051"/>
    <w:multiLevelType w:val="hybridMultilevel"/>
    <w:lvl w:ilvl="0">
      <w:lvlJc w:val="left"/>
      <w:lvlText w:val="%1."/>
      <w:numFmt w:val="decimal"/>
      <w:start w:val="11"/>
    </w:lvl>
  </w:abstractNum>
  <w:abstractNum w:abstractNumId="112">
    <w:nsid w:val="20F4BDAD"/>
    <w:multiLevelType w:val="hybridMultilevel"/>
    <w:lvl w:ilvl="0">
      <w:lvlJc w:val="left"/>
      <w:lvlText w:val="%1."/>
      <w:numFmt w:val="decimal"/>
      <w:start w:val="12"/>
    </w:lvl>
  </w:abstractNum>
  <w:abstractNum w:abstractNumId="113">
    <w:nsid w:val="639DEFAC"/>
    <w:multiLevelType w:val="hybridMultilevel"/>
    <w:lvl w:ilvl="0">
      <w:lvlJc w:val="left"/>
      <w:lvlText w:val="*"/>
      <w:numFmt w:val="bullet"/>
      <w:start w:val="1"/>
    </w:lvl>
  </w:abstractNum>
  <w:abstractNum w:abstractNumId="114">
    <w:nsid w:val="501F9786"/>
    <w:multiLevelType w:val="hybridMultilevel"/>
    <w:lvl w:ilvl="0">
      <w:lvlJc w:val="left"/>
      <w:lvlText w:val="**"/>
      <w:numFmt w:val="bullet"/>
      <w:start w:val="1"/>
    </w:lvl>
  </w:abstractNum>
  <w:abstractNum w:abstractNumId="115">
    <w:nsid w:val="6B057295"/>
    <w:multiLevelType w:val="hybridMultilevel"/>
    <w:lvl w:ilvl="0">
      <w:lvlJc w:val="left"/>
      <w:lvlText w:val="%1."/>
      <w:numFmt w:val="decimal"/>
      <w:start w:val="12"/>
    </w:lvl>
    <w:lvl w:ilvl="1">
      <w:lvlJc w:val="left"/>
      <w:lvlText w:val="(%2)"/>
      <w:numFmt w:val="upperLetter"/>
      <w:start w:val="1"/>
    </w:lvl>
  </w:abstractNum>
  <w:abstractNum w:abstractNumId="116">
    <w:nsid w:val="2771AC80"/>
    <w:multiLevelType w:val="hybridMultilevel"/>
    <w:lvl w:ilvl="0">
      <w:lvlJc w:val="left"/>
      <w:lvlText w:val="%1."/>
      <w:numFmt w:val="decimal"/>
      <w:start w:val="12"/>
    </w:lvl>
  </w:abstractNum>
  <w:abstractNum w:abstractNumId="117">
    <w:nsid w:val="1C4A08EC"/>
    <w:multiLevelType w:val="hybridMultilevel"/>
    <w:lvl w:ilvl="0">
      <w:lvlJc w:val="left"/>
      <w:lvlText w:val="%1."/>
      <w:numFmt w:val="decimal"/>
      <w:start w:val="13"/>
    </w:lvl>
  </w:abstractNum>
  <w:abstractNum w:abstractNumId="118">
    <w:nsid w:val="1958BD17"/>
    <w:multiLevelType w:val="hybridMultilevel"/>
    <w:lvl w:ilvl="0">
      <w:lvlJc w:val="left"/>
      <w:lvlText w:val="%1."/>
      <w:numFmt w:val="decimal"/>
      <w:start w:val="13"/>
    </w:lvl>
  </w:abstractNum>
  <w:abstractNum w:abstractNumId="119">
    <w:nsid w:val="4E647FE4"/>
    <w:multiLevelType w:val="hybridMultilevel"/>
    <w:lvl w:ilvl="0">
      <w:lvlJc w:val="left"/>
      <w:lvlText w:val="%1."/>
      <w:numFmt w:val="decimal"/>
      <w:start w:val="13"/>
    </w:lvl>
  </w:abstractNum>
  <w:abstractNum w:abstractNumId="120">
    <w:nsid w:val="E0BB885"/>
    <w:multiLevelType w:val="hybridMultilevel"/>
    <w:lvl w:ilvl="0">
      <w:lvlJc w:val="left"/>
      <w:lvlText w:val="%1."/>
      <w:numFmt w:val="decimal"/>
      <w:start w:val="14"/>
    </w:lvl>
  </w:abstractNum>
  <w:abstractNum w:abstractNumId="121">
    <w:nsid w:val="565976F1"/>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abstractNum>
  <w:abstractNum w:abstractNumId="122">
    <w:nsid w:val="64212B8C"/>
    <w:multiLevelType w:val="hybridMultilevel"/>
    <w:lvl w:ilvl="0">
      <w:lvlJc w:val="left"/>
      <w:lvlText w:val="%1"/>
      <w:numFmt w:val="lowerLetter"/>
      <w:start w:val="1"/>
    </w:lvl>
    <w:lvl w:ilvl="1">
      <w:lvlJc w:val="left"/>
      <w:lvlText w:val="(%2)"/>
      <w:numFmt w:val="lowerLetter"/>
      <w:start w:val="35"/>
    </w:lvl>
  </w:abstractNum>
  <w:abstractNum w:abstractNumId="123">
    <w:nsid w:val="5C17530C"/>
    <w:multiLevelType w:val="hybridMultilevel"/>
    <w:lvl w:ilvl="0">
      <w:lvlJc w:val="left"/>
      <w:lvlText w:val="(%1)"/>
      <w:numFmt w:val="lowerLetter"/>
      <w:start w:val="2"/>
    </w:lvl>
    <w:lvl w:ilvl="1">
      <w:lvlJc w:val="left"/>
      <w:lvlText w:val="%2"/>
      <w:numFmt w:val="lowerLetter"/>
      <w:start w:val="1"/>
    </w:lvl>
  </w:abstractNum>
  <w:abstractNum w:abstractNumId="124">
    <w:nsid w:val="19A52566"/>
    <w:multiLevelType w:val="hybridMultilevel"/>
    <w:lvl w:ilvl="0">
      <w:lvlJc w:val="left"/>
      <w:lvlText w:val="%1."/>
      <w:numFmt w:val="decimal"/>
      <w:start w:val="16"/>
    </w:lvl>
  </w:abstractNum>
  <w:abstractNum w:abstractNumId="125">
    <w:nsid w:val="335A1DF1"/>
    <w:multiLevelType w:val="hybridMultilevel"/>
    <w:lvl w:ilvl="0">
      <w:lvlJc w:val="left"/>
      <w:lvlText w:val="%1."/>
      <w:numFmt w:val="decimal"/>
      <w:start w:val="17"/>
    </w:lvl>
  </w:abstractNum>
  <w:abstractNum w:abstractNumId="126">
    <w:nsid w:val="28677B7C"/>
    <w:multiLevelType w:val="hybridMultilevel"/>
    <w:lvl w:ilvl="0">
      <w:lvlJc w:val="left"/>
      <w:lvlText w:val="%1."/>
      <w:numFmt w:val="decimal"/>
      <w:start w:val="17"/>
    </w:lvl>
  </w:abstractNum>
  <w:abstractNum w:abstractNumId="127">
    <w:nsid w:val="378D97C0"/>
    <w:multiLevelType w:val="hybridMultilevel"/>
    <w:lvl w:ilvl="0">
      <w:lvlJc w:val="left"/>
      <w:lvlText w:val="%1."/>
      <w:numFmt w:val="decimal"/>
      <w:start w:val="17"/>
    </w:lvl>
  </w:abstractNum>
  <w:abstractNum w:abstractNumId="128">
    <w:nsid w:val="1D91467C"/>
    <w:multiLevelType w:val="hybridMultilevel"/>
    <w:lvl w:ilvl="0">
      <w:lvlJc w:val="left"/>
      <w:lvlText w:val="*"/>
      <w:numFmt w:val="bullet"/>
      <w:start w:val="1"/>
    </w:lvl>
  </w:abstractNum>
  <w:abstractNum w:abstractNumId="129">
    <w:nsid w:val="316032BB"/>
    <w:multiLevelType w:val="hybridMultilevel"/>
    <w:lvl w:ilvl="0">
      <w:lvlJc w:val="left"/>
      <w:lvlText w:val="(%1)"/>
      <w:numFmt w:val="lowerLetter"/>
      <w:start w:val="2"/>
    </w:lvl>
  </w:abstractNum>
  <w:abstractNum w:abstractNumId="130">
    <w:nsid w:val="44344C22"/>
    <w:multiLevelType w:val="hybridMultilevel"/>
    <w:lvl w:ilvl="0">
      <w:lvlJc w:val="left"/>
      <w:lvlText w:val="(%1)"/>
      <w:numFmt w:val="decimal"/>
      <w:start w:val="1"/>
    </w:lvl>
  </w:abstractNum>
  <w:abstractNum w:abstractNumId="131">
    <w:nsid w:val="13CDFCFC"/>
    <w:multiLevelType w:val="hybridMultilevel"/>
    <w:lvl w:ilvl="0">
      <w:lvlJc w:val="left"/>
      <w:lvlText w:val="*"/>
      <w:numFmt w:val="bullet"/>
      <w:start w:val="1"/>
    </w:lvl>
  </w:abstractNum>
  <w:abstractNum w:abstractNumId="132">
    <w:nsid w:val="471745E4"/>
    <w:multiLevelType w:val="hybridMultilevel"/>
    <w:lvl w:ilvl="0">
      <w:lvlJc w:val="left"/>
      <w:lvlText w:val="%1."/>
      <w:numFmt w:val="decimal"/>
      <w:start w:val="1"/>
    </w:lvl>
  </w:abstractNum>
  <w:abstractNum w:abstractNumId="133">
    <w:nsid w:val="1DDBC66"/>
    <w:multiLevelType w:val="hybridMultilevel"/>
    <w:lvl w:ilvl="0">
      <w:lvlJc w:val="left"/>
      <w:lvlText w:val="%1."/>
      <w:numFmt w:val="decimal"/>
      <w:start w:val="2"/>
    </w:lvl>
    <w:lvl w:ilvl="1">
      <w:lvlJc w:val="left"/>
      <w:lvlText w:val="(%2)"/>
      <w:numFmt w:val="lowerLetter"/>
      <w:start w:val="1"/>
    </w:lvl>
  </w:abstractNum>
  <w:abstractNum w:abstractNumId="134">
    <w:nsid w:val="30AADFDA"/>
    <w:multiLevelType w:val="hybridMultilevel"/>
    <w:lvl w:ilvl="0">
      <w:lvlJc w:val="left"/>
      <w:lvlText w:val="(%1)"/>
      <w:numFmt w:val="lowerLetter"/>
      <w:start w:val="2"/>
    </w:lvl>
  </w:abstractNum>
  <w:abstractNum w:abstractNumId="135">
    <w:nsid w:val="30EADA61"/>
    <w:multiLevelType w:val="hybridMultilevel"/>
    <w:lvl w:ilvl="0">
      <w:lvlJc w:val="left"/>
      <w:lvlText w:val="(%1)"/>
      <w:numFmt w:val="lowerLetter"/>
      <w:start w:val="3"/>
    </w:lvl>
  </w:abstractNum>
  <w:abstractNum w:abstractNumId="136">
    <w:nsid w:val="27179C0B"/>
    <w:multiLevelType w:val="hybridMultilevel"/>
    <w:lvl w:ilvl="0">
      <w:lvlJc w:val="left"/>
      <w:lvlText w:val="(%1)"/>
      <w:numFmt w:val="lowerLetter"/>
      <w:start w:val="6"/>
    </w:lvl>
  </w:abstractNum>
  <w:abstractNum w:abstractNumId="137">
    <w:nsid w:val="5E636063"/>
    <w:multiLevelType w:val="hybridMultilevel"/>
    <w:lvl w:ilvl="0">
      <w:lvlJc w:val="left"/>
      <w:lvlText w:val="(%1)"/>
      <w:numFmt w:val="lowerLetter"/>
      <w:start w:val="9"/>
    </w:lvl>
  </w:abstractNum>
  <w:abstractNum w:abstractNumId="138">
    <w:nsid w:val="215641AF"/>
    <w:multiLevelType w:val="hybridMultilevel"/>
    <w:lvl w:ilvl="0">
      <w:lvlJc w:val="left"/>
      <w:lvlText w:val="(%1)"/>
      <w:numFmt w:val="lowerLetter"/>
      <w:start w:val="13"/>
    </w:lvl>
  </w:abstractNum>
  <w:abstractNum w:abstractNumId="139">
    <w:nsid w:val="53280662"/>
    <w:multiLevelType w:val="hybridMultilevel"/>
    <w:lvl w:ilvl="0">
      <w:lvlJc w:val="left"/>
      <w:lvlText w:val="(%1)"/>
      <w:numFmt w:val="lowerLetter"/>
      <w:start w:val="17"/>
    </w:lvl>
  </w:abstractNum>
  <w:abstractNum w:abstractNumId="140">
    <w:nsid w:val="46B24DBC"/>
    <w:multiLevelType w:val="hybridMultilevel"/>
    <w:lvl w:ilvl="0">
      <w:lvlJc w:val="left"/>
      <w:lvlText w:val="(%1)"/>
      <w:numFmt w:val="lowerLetter"/>
      <w:start w:val="22"/>
    </w:lvl>
  </w:abstractNum>
  <w:abstractNum w:abstractNumId="141">
    <w:nsid w:val="75B52783"/>
    <w:multiLevelType w:val="hybridMultilevel"/>
    <w:lvl w:ilvl="0">
      <w:lvlJc w:val="left"/>
      <w:lvlText w:val="(%1)"/>
      <w:numFmt w:val="lowerLetter"/>
      <w:start w:val="25"/>
    </w:lvl>
  </w:abstractNum>
  <w:abstractNum w:abstractNumId="142">
    <w:nsid w:val="57CE66B4"/>
    <w:multiLevelType w:val="hybridMultilevel"/>
    <w:lvl w:ilvl="0">
      <w:lvlJc w:val="left"/>
      <w:lvlText w:val="%1"/>
      <w:numFmt w:val="lowerLetter"/>
      <w:start w:val="1"/>
    </w:lvl>
    <w:lvl w:ilvl="1">
      <w:lvlJc w:val="left"/>
      <w:lvlText w:val="(%2)"/>
      <w:numFmt w:val="lowerLetter"/>
      <w:start w:val="27"/>
    </w:lvl>
  </w:abstractNum>
  <w:abstractNum w:abstractNumId="143">
    <w:nsid w:val="67A70B69"/>
    <w:multiLevelType w:val="hybridMultilevel"/>
    <w:lvl w:ilvl="0">
      <w:lvlJc w:val="left"/>
      <w:lvlText w:val="(%1)"/>
      <w:numFmt w:val="lowerLetter"/>
      <w:start w:val="22"/>
    </w:lvl>
    <w:lvl w:ilvl="1">
      <w:lvlJc w:val="left"/>
      <w:lvlText w:val="%2"/>
      <w:numFmt w:val="lowerLetter"/>
      <w:start w:val="1"/>
    </w:lvl>
  </w:abstractNum>
  <w:abstractNum w:abstractNumId="144">
    <w:nsid w:val="5953172F"/>
    <w:multiLevelType w:val="hybridMultilevel"/>
    <w:lvl w:ilvl="0">
      <w:lvlJc w:val="left"/>
      <w:lvlText w:val="(%1)"/>
      <w:numFmt w:val="lowerLetter"/>
      <w:start w:val="9"/>
    </w:lvl>
    <w:lvl w:ilvl="1">
      <w:lvlJc w:val="left"/>
      <w:lvlText w:val="%2"/>
      <w:numFmt w:val="lowerLetter"/>
      <w:start w:val="1"/>
    </w:lvl>
  </w:abstractNum>
  <w:abstractNum w:abstractNumId="145">
    <w:nsid w:val="27EDFE3A"/>
    <w:multiLevelType w:val="hybridMultilevel"/>
    <w:lvl w:ilvl="0">
      <w:lvlJc w:val="left"/>
      <w:lvlText w:val="%1"/>
      <w:numFmt w:val="lowerRoman"/>
      <w:start w:val="1"/>
    </w:lvl>
    <w:lvl w:ilvl="1">
      <w:lvlJc w:val="left"/>
      <w:lvlText w:val="(%2)"/>
      <w:numFmt w:val="lowerLetter"/>
      <w:start w:val="28"/>
    </w:lvl>
  </w:abstractNum>
  <w:abstractNum w:abstractNumId="146">
    <w:nsid w:val="52AC7DFF"/>
    <w:multiLevelType w:val="hybridMultilevel"/>
    <w:lvl w:ilvl="0">
      <w:lvlJc w:val="left"/>
      <w:lvlText w:val="(%1)"/>
      <w:numFmt w:val="lowerRoman"/>
      <w:start w:val="4"/>
    </w:lvl>
    <w:lvl w:ilvl="1">
      <w:lvlJc w:val="left"/>
      <w:lvlText w:val="%2"/>
      <w:numFmt w:val="lowerLetter"/>
      <w:start w:val="1"/>
    </w:lvl>
  </w:abstractNum>
  <w:abstractNum w:abstractNumId="147">
    <w:nsid w:val="C4C3AF"/>
    <w:multiLevelType w:val="hybridMultilevel"/>
    <w:lvl w:ilvl="0">
      <w:lvlJc w:val="left"/>
      <w:lvlText w:val="%1"/>
      <w:numFmt w:val="lowerLetter"/>
      <w:start w:val="1"/>
    </w:lvl>
    <w:lvl w:ilvl="1">
      <w:lvlJc w:val="left"/>
      <w:lvlText w:val="(%2)"/>
      <w:numFmt w:val="lowerLetter"/>
      <w:start w:val="32"/>
    </w:lvl>
  </w:abstractNum>
  <w:abstractNum w:abstractNumId="148">
    <w:nsid w:val="44380727"/>
    <w:multiLevelType w:val="hybridMultilevel"/>
    <w:lvl w:ilvl="0">
      <w:lvlJc w:val="left"/>
      <w:lvlText w:val="(%1)"/>
      <w:numFmt w:val="lowerLetter"/>
      <w:start w:val="35"/>
    </w:lvl>
    <w:lvl w:ilvl="1">
      <w:lvlJc w:val="left"/>
      <w:lvlText w:val="(%2)"/>
      <w:numFmt w:val="lowerLetter"/>
      <w:start w:val="34"/>
    </w:lvl>
  </w:abstractNum>
  <w:abstractNum w:abstractNumId="149">
    <w:nsid w:val="6C053B16"/>
    <w:multiLevelType w:val="hybridMultilevel"/>
    <w:lvl w:ilvl="0">
      <w:lvlJc w:val="left"/>
      <w:lvlText w:val="(%1)"/>
      <w:numFmt w:val="lowerLetter"/>
      <w:start w:val="35"/>
    </w:lvl>
  </w:abstractNum>
  <w:abstractNum w:abstractNumId="150">
    <w:nsid w:val="4F294393"/>
    <w:multiLevelType w:val="hybridMultilevel"/>
    <w:lvl w:ilvl="0">
      <w:lvlJc w:val="left"/>
      <w:lvlText w:val="(%1)"/>
      <w:numFmt w:val="lowerLetter"/>
      <w:start w:val="38"/>
    </w:lvl>
  </w:abstractNum>
  <w:abstractNum w:abstractNumId="151">
    <w:nsid w:val="5243BFAC"/>
    <w:multiLevelType w:val="hybridMultilevel"/>
    <w:lvl w:ilvl="0">
      <w:lvlJc w:val="left"/>
      <w:lvlText w:val="%1"/>
      <w:numFmt w:val="lowerRoman"/>
      <w:start w:val="1"/>
    </w:lvl>
    <w:lvl w:ilvl="1">
      <w:lvlJc w:val="left"/>
      <w:lvlText w:val="(%2)"/>
      <w:numFmt w:val="lowerLetter"/>
      <w:start w:val="43"/>
    </w:lvl>
  </w:abstractNum>
  <w:abstractNum w:abstractNumId="152">
    <w:nsid w:val="425EB207"/>
    <w:multiLevelType w:val="hybridMultilevel"/>
    <w:lvl w:ilvl="0">
      <w:lvlJc w:val="left"/>
      <w:lvlText w:val="(%1)"/>
      <w:numFmt w:val="lowerRoman"/>
      <w:start w:val="4"/>
    </w:lvl>
    <w:lvl w:ilvl="1">
      <w:lvlJc w:val="left"/>
      <w:lvlText w:val="%2"/>
      <w:numFmt w:val="lowerLetter"/>
      <w:start w:val="1"/>
    </w:lvl>
  </w:abstractNum>
  <w:abstractNum w:abstractNumId="153">
    <w:nsid w:val="334A6F1F"/>
    <w:multiLevelType w:val="hybridMultilevel"/>
    <w:lvl w:ilvl="0">
      <w:lvlJc w:val="left"/>
      <w:lvlText w:val="%1"/>
      <w:numFmt w:val="lowerRoman"/>
      <w:start w:val="1"/>
    </w:lvl>
    <w:lvl w:ilvl="1">
      <w:lvlJc w:val="left"/>
      <w:lvlText w:val="(%2)"/>
      <w:numFmt w:val="lowerLetter"/>
      <w:start w:val="46"/>
    </w:lvl>
  </w:abstractNum>
  <w:abstractNum w:abstractNumId="154">
    <w:nsid w:val="2E5B12B8"/>
    <w:multiLevelType w:val="hybridMultilevel"/>
    <w:lvl w:ilvl="0">
      <w:lvlJc w:val="left"/>
      <w:lvlText w:val="(%1)"/>
      <w:numFmt w:val="lowerRoman"/>
      <w:start w:val="4"/>
    </w:lvl>
    <w:lvl w:ilvl="1">
      <w:lvlJc w:val="left"/>
      <w:lvlText w:val="(%2)"/>
      <w:numFmt w:val="lowerLetter"/>
      <w:start w:val="49"/>
    </w:lvl>
  </w:abstractNum>
  <w:abstractNum w:abstractNumId="155">
    <w:nsid w:val="5C03D76D"/>
    <w:multiLevelType w:val="hybridMultilevel"/>
    <w:lvl w:ilvl="0">
      <w:lvlJc w:val="left"/>
      <w:lvlText w:val="(%1)"/>
      <w:numFmt w:val="lowerLetter"/>
      <w:start w:val="50"/>
    </w:lvl>
  </w:abstractNum>
  <w:abstractNum w:abstractNumId="156">
    <w:nsid w:val="66A48D11"/>
    <w:multiLevelType w:val="hybridMultilevel"/>
    <w:lvl w:ilvl="0">
      <w:lvlJc w:val="left"/>
      <w:lvlText w:val="%1."/>
      <w:numFmt w:val="decimal"/>
      <w:start w:val="3"/>
    </w:lvl>
  </w:abstractNum>
  <w:abstractNum w:abstractNumId="157">
    <w:nsid w:val="56C28E34"/>
    <w:multiLevelType w:val="hybridMultilevel"/>
    <w:lvl w:ilvl="0">
      <w:lvlJc w:val="left"/>
      <w:lvlText w:val="%1."/>
      <w:numFmt w:val="decimal"/>
      <w:start w:val="4"/>
    </w:lvl>
    <w:lvl w:ilvl="1">
      <w:lvlJc w:val="left"/>
      <w:lvlText w:val="(%2)"/>
      <w:numFmt w:val="lowerLetter"/>
      <w:start w:val="1"/>
    </w:lvl>
  </w:abstractNum>
  <w:abstractNum w:abstractNumId="158">
    <w:nsid w:val="13916F2D"/>
    <w:multiLevelType w:val="hybridMultilevel"/>
    <w:lvl w:ilvl="0">
      <w:lvlJc w:val="left"/>
      <w:lvlText w:val="(%1)"/>
      <w:numFmt w:val="lowerLetter"/>
      <w:start w:val="3"/>
    </w:lvl>
  </w:abstractNum>
  <w:abstractNum w:abstractNumId="159">
    <w:nsid w:val="435D38D"/>
    <w:multiLevelType w:val="hybridMultilevel"/>
    <w:lvl w:ilvl="0">
      <w:lvlJc w:val="left"/>
      <w:lvlText w:val="(%1)"/>
      <w:numFmt w:val="lowerLetter"/>
      <w:start w:val="6"/>
    </w:lvl>
  </w:abstractNum>
  <w:abstractNum w:abstractNumId="160">
    <w:nsid w:val="822C0EF"/>
    <w:multiLevelType w:val="hybridMultilevel"/>
    <w:lvl w:ilvl="0">
      <w:lvlJc w:val="left"/>
      <w:lvlText w:val="(%1)"/>
      <w:numFmt w:val="lowerLetter"/>
      <w:start w:val="9"/>
    </w:lvl>
  </w:abstractNum>
  <w:abstractNum w:abstractNumId="161">
    <w:nsid w:val="57C5BB4F"/>
    <w:multiLevelType w:val="hybridMultilevel"/>
    <w:lvl w:ilvl="0">
      <w:lvlJc w:val="left"/>
      <w:lvlText w:val="(%1)"/>
      <w:numFmt w:val="lowerLetter"/>
      <w:start w:val="13"/>
    </w:lvl>
  </w:abstractNum>
  <w:abstractNum w:abstractNumId="162">
    <w:nsid w:val="1803D089"/>
    <w:multiLevelType w:val="hybridMultilevel"/>
    <w:lvl w:ilvl="0">
      <w:lvlJc w:val="left"/>
      <w:lvlText w:val="%1"/>
      <w:numFmt w:val="decimal"/>
      <w:start w:val="1"/>
    </w:lvl>
    <w:lvl w:ilvl="1">
      <w:lvlJc w:val="left"/>
      <w:lvlText w:val="(%2)"/>
      <w:numFmt w:val="lowerLetter"/>
      <w:start w:val="18"/>
    </w:lvl>
  </w:abstractNum>
  <w:abstractNum w:abstractNumId="163">
    <w:nsid w:val="4F3A06D4"/>
    <w:multiLevelType w:val="hybridMultilevel"/>
    <w:lvl w:ilvl="0">
      <w:lvlJc w:val="left"/>
      <w:lvlText w:val="%1."/>
      <w:numFmt w:val="decimal"/>
      <w:start w:val="6"/>
    </w:lvl>
    <w:lvl w:ilvl="1">
      <w:lvlJc w:val="left"/>
      <w:lvlText w:val="(%2)"/>
      <w:numFmt w:val="lowerLetter"/>
      <w:start w:val="1"/>
    </w:lvl>
  </w:abstractNum>
  <w:abstractNum w:abstractNumId="164">
    <w:nsid w:val="59A377B6"/>
    <w:multiLevelType w:val="hybridMultilevel"/>
    <w:lvl w:ilvl="0">
      <w:lvlJc w:val="left"/>
      <w:lvlText w:val="%1"/>
      <w:numFmt w:val="lowerRoman"/>
      <w:start w:val="1"/>
    </w:lvl>
    <w:lvl w:ilvl="1">
      <w:lvlJc w:val="left"/>
      <w:lvlText w:val="(%2)"/>
      <w:numFmt w:val="lowerLetter"/>
      <w:start w:val="2"/>
    </w:lvl>
  </w:abstractNum>
  <w:abstractNum w:abstractNumId="165">
    <w:nsid w:val="48AEB063"/>
    <w:multiLevelType w:val="hybridMultilevel"/>
    <w:lvl w:ilvl="0">
      <w:lvlJc w:val="left"/>
      <w:lvlText w:val="(%1)"/>
      <w:numFmt w:val="lowerRoman"/>
      <w:start w:val="6"/>
    </w:lvl>
    <w:lvl w:ilvl="1">
      <w:lvlJc w:val="left"/>
      <w:lvlText w:val="%2"/>
      <w:numFmt w:val="lowerLetter"/>
      <w:start w:val="1"/>
    </w:lvl>
  </w:abstractNum>
  <w:abstractNum w:abstractNumId="166">
    <w:nsid w:val="24E135"/>
    <w:multiLevelType w:val="hybridMultilevel"/>
    <w:lvl w:ilvl="0">
      <w:lvlJc w:val="left"/>
      <w:lvlText w:val="(%1)"/>
      <w:numFmt w:val="lowerLetter"/>
      <w:start w:val="4"/>
    </w:lvl>
  </w:abstractNum>
  <w:abstractNum w:abstractNumId="167">
    <w:nsid w:val="BB13C1"/>
    <w:multiLevelType w:val="hybridMultilevel"/>
    <w:lvl w:ilvl="0">
      <w:lvlJc w:val="left"/>
      <w:lvlText w:val="(%1)"/>
      <w:numFmt w:val="lowerLetter"/>
      <w:start w:val="11"/>
    </w:lvl>
  </w:abstractNum>
  <w:abstractNum w:abstractNumId="168">
    <w:nsid w:val="271210C7"/>
    <w:multiLevelType w:val="hybridMultilevel"/>
    <w:lvl w:ilvl="0">
      <w:lvlJc w:val="left"/>
      <w:lvlText w:val="(%1)"/>
      <w:numFmt w:val="lowerLetter"/>
      <w:start w:val="18"/>
    </w:lvl>
  </w:abstractNum>
  <w:abstractNum w:abstractNumId="169">
    <w:nsid w:val="217B22E4"/>
    <w:multiLevelType w:val="hybridMultilevel"/>
    <w:lvl w:ilvl="0">
      <w:lvlJc w:val="left"/>
      <w:lvlText w:val="%1."/>
      <w:numFmt w:val="decimal"/>
      <w:start w:val="8"/>
    </w:lvl>
  </w:abstractNum>
  <w:abstractNum w:abstractNumId="170">
    <w:nsid w:val="53E31A24"/>
    <w:multiLevelType w:val="hybridMultilevel"/>
    <w:lvl w:ilvl="0">
      <w:lvlJc w:val="left"/>
      <w:lvlText w:val="%1"/>
      <w:numFmt w:val="lowerLetter"/>
      <w:start w:val="1"/>
    </w:lvl>
    <w:lvl w:ilvl="1">
      <w:lvlJc w:val="left"/>
      <w:lvlText w:val="(%2)"/>
      <w:numFmt w:val="lowerLetter"/>
      <w:start w:val="2"/>
    </w:lvl>
  </w:abstractNum>
  <w:abstractNum w:abstractNumId="171">
    <w:nsid w:val="6DC45E83"/>
    <w:multiLevelType w:val="hybridMultilevel"/>
    <w:lvl w:ilvl="0">
      <w:lvlJc w:val="left"/>
      <w:lvlText w:val="(%1)"/>
      <w:numFmt w:val="lowerLetter"/>
      <w:start w:val="2"/>
    </w:lvl>
    <w:lvl w:ilvl="1">
      <w:lvlJc w:val="left"/>
      <w:lvlText w:val="%2"/>
      <w:numFmt w:val="lowerLetter"/>
      <w:start w:val="1"/>
    </w:lvl>
  </w:abstractNum>
  <w:abstractNum w:abstractNumId="172">
    <w:nsid w:val="17304A67"/>
    <w:multiLevelType w:val="hybridMultilevel"/>
    <w:lvl w:ilvl="0">
      <w:lvlJc w:val="left"/>
      <w:lvlText w:val="(%1)"/>
      <w:numFmt w:val="lowerLetter"/>
      <w:start w:val="1"/>
    </w:lvl>
    <w:lvl w:ilvl="1">
      <w:lvlJc w:val="left"/>
      <w:lvlText w:val="%2"/>
      <w:numFmt w:val="lowerLetter"/>
      <w:start w:val="1"/>
    </w:lvl>
  </w:abstractNum>
  <w:abstractNum w:abstractNumId="173">
    <w:nsid w:val="2BB180D8"/>
    <w:multiLevelType w:val="hybridMultilevel"/>
    <w:lvl w:ilvl="0">
      <w:lvlJc w:val="left"/>
      <w:lvlText w:val="%1"/>
      <w:numFmt w:val="lowerLetter"/>
      <w:start w:val="1"/>
    </w:lvl>
    <w:lvl w:ilvl="1">
      <w:lvlJc w:val="left"/>
      <w:lvlText w:val="(%2)"/>
      <w:numFmt w:val="lowerLetter"/>
      <w:start w:val="4"/>
    </w:lvl>
  </w:abstractNum>
  <w:abstractNum w:abstractNumId="174">
    <w:nsid w:val="556B69ED"/>
    <w:multiLevelType w:val="hybridMultilevel"/>
    <w:lvl w:ilvl="0">
      <w:lvlJc w:val="left"/>
      <w:lvlText w:val="(%1)"/>
      <w:numFmt w:val="lowerLetter"/>
      <w:start w:val="1"/>
    </w:lvl>
    <w:lvl w:ilvl="1">
      <w:lvlJc w:val="left"/>
      <w:lvlText w:val="%2"/>
      <w:numFmt w:val="lowerLetter"/>
      <w:start w:val="1"/>
    </w:lvl>
  </w:abstractNum>
  <w:abstractNum w:abstractNumId="175">
    <w:nsid w:val="70836196"/>
    <w:multiLevelType w:val="hybridMultilevel"/>
    <w:lvl w:ilvl="0">
      <w:lvlJc w:val="left"/>
      <w:lvlText w:val="(%1)"/>
      <w:numFmt w:val="lowerLetter"/>
      <w:start w:val="5"/>
    </w:lvl>
  </w:abstractNum>
  <w:abstractNum w:abstractNumId="176">
    <w:nsid w:val="539F7F12"/>
    <w:multiLevelType w:val="hybridMultilevel"/>
    <w:lvl w:ilvl="0">
      <w:lvlJc w:val="left"/>
      <w:lvlText w:val="%1."/>
      <w:numFmt w:val="decimal"/>
      <w:start w:val="9"/>
    </w:lvl>
  </w:abstractNum>
  <w:abstractNum w:abstractNumId="177">
    <w:nsid w:val="2817E7EC"/>
    <w:multiLevelType w:val="hybridMultilevel"/>
    <w:lvl w:ilvl="0">
      <w:lvlJc w:val="left"/>
      <w:lvlText w:val="%1."/>
      <w:numFmt w:val="decimal"/>
      <w:start w:val="10"/>
    </w:lvl>
  </w:abstractNum>
  <w:abstractNum w:abstractNumId="178">
    <w:nsid w:val="71482545"/>
    <w:multiLevelType w:val="hybridMultilevel"/>
    <w:lvl w:ilvl="0">
      <w:lvlJc w:val="left"/>
      <w:lvlText w:val="(%1)"/>
      <w:numFmt w:val="lowerLetter"/>
      <w:start w:val="1"/>
    </w:lvl>
  </w:abstractNum>
  <w:abstractNum w:abstractNumId="179">
    <w:nsid w:val="17D78639"/>
    <w:multiLevelType w:val="hybridMultilevel"/>
    <w:lvl w:ilvl="0">
      <w:lvlJc w:val="left"/>
      <w:lvlText w:val="(%1)"/>
      <w:numFmt w:val="lowerLetter"/>
      <w:start w:val="2"/>
    </w:lvl>
  </w:abstractNum>
  <w:abstractNum w:abstractNumId="180">
    <w:nsid w:val="141D2302"/>
    <w:multiLevelType w:val="hybridMultilevel"/>
    <w:lvl w:ilvl="0">
      <w:lvlJc w:val="left"/>
      <w:lvlText w:val="%1."/>
      <w:numFmt w:val="decimal"/>
      <w:start w:val="17"/>
    </w:lvl>
  </w:abstractNum>
  <w:abstractNum w:abstractNumId="181">
    <w:nsid w:val="407168D8"/>
    <w:multiLevelType w:val="hybridMultilevel"/>
    <w:lvl w:ilvl="0">
      <w:lvlJc w:val="left"/>
      <w:lvlText w:val="%1."/>
      <w:numFmt w:val="decimal"/>
      <w:start w:val="1"/>
    </w:lvl>
  </w:abstractNum>
  <w:abstractNum w:abstractNumId="182">
    <w:nsid w:val="6A1B45E5"/>
    <w:multiLevelType w:val="hybridMultilevel"/>
    <w:lvl w:ilvl="0">
      <w:lvlJc w:val="left"/>
      <w:lvlText w:val="%1."/>
      <w:numFmt w:val="decimal"/>
      <w:start w:val="1"/>
    </w:lvl>
  </w:abstractNum>
  <w:abstractNum w:abstractNumId="183">
    <w:nsid w:val="567BD50A"/>
    <w:multiLevelType w:val="hybridMultilevel"/>
    <w:lvl w:ilvl="0">
      <w:lvlJc w:val="left"/>
      <w:lvlText w:val="%1."/>
      <w:numFmt w:val="decimal"/>
      <w:start w:val="1"/>
    </w:lvl>
  </w:abstractNum>
  <w:abstractNum w:abstractNumId="184">
    <w:nsid w:val="73BBD7F8"/>
    <w:multiLevelType w:val="hybridMultilevel"/>
    <w:lvl w:ilvl="0">
      <w:lvlJc w:val="left"/>
      <w:lvlText w:val="(%1)"/>
      <w:numFmt w:val="lowerLetter"/>
      <w:start w:val="1"/>
    </w:lvl>
  </w:abstractNum>
  <w:abstractNum w:abstractNumId="185">
    <w:nsid w:val="1876589D"/>
    <w:multiLevelType w:val="hybridMultilevel"/>
    <w:lvl w:ilvl="0">
      <w:lvlJc w:val="left"/>
      <w:lvlText w:val="%1."/>
      <w:numFmt w:val="decimal"/>
      <w:start w:val="2"/>
    </w:lvl>
    <w:lvl w:ilvl="1">
      <w:lvlJc w:val="left"/>
      <w:lvlText w:val="(%2)"/>
      <w:numFmt w:val="lowerLetter"/>
      <w:start w:val="1"/>
    </w:lvl>
  </w:abstractNum>
  <w:abstractNum w:abstractNumId="186">
    <w:nsid w:val="327FAC77"/>
    <w:multiLevelType w:val="hybridMultilevel"/>
    <w:lvl w:ilvl="0">
      <w:lvlJc w:val="left"/>
      <w:lvlText w:val="%1"/>
      <w:numFmt w:val="decimal"/>
      <w:start w:val="1"/>
    </w:lvl>
    <w:lvl w:ilvl="1">
      <w:lvlJc w:val="left"/>
      <w:lvlText w:val="(%2)"/>
      <w:numFmt w:val="lowerLetter"/>
      <w:start w:val="2"/>
    </w:lvl>
  </w:abstractNum>
  <w:abstractNum w:abstractNumId="187">
    <w:nsid w:val="5A606509"/>
    <w:multiLevelType w:val="hybridMultilevel"/>
    <w:lvl w:ilvl="0">
      <w:lvlJc w:val="left"/>
      <w:lvlText w:val="%1."/>
      <w:numFmt w:val="decimal"/>
      <w:start w:val="3"/>
    </w:lvl>
    <w:lvl w:ilvl="1">
      <w:lvlJc w:val="left"/>
      <w:lvlText w:val="%2"/>
      <w:numFmt w:val="lowerLetter"/>
      <w:start w:val="1"/>
    </w:lvl>
  </w:abstractNum>
  <w:abstractNum w:abstractNumId="188">
    <w:nsid w:val="6F38E6D1"/>
    <w:multiLevelType w:val="hybridMultilevel"/>
    <w:lvl w:ilvl="0">
      <w:lvlJc w:val="left"/>
      <w:lvlText w:val="%1."/>
      <w:numFmt w:val="decimal"/>
      <w:start w:val="4"/>
    </w:lvl>
  </w:abstractNum>
  <w:abstractNum w:abstractNumId="189">
    <w:nsid w:val="46111BA5"/>
    <w:multiLevelType w:val="hybridMultilevel"/>
    <w:lvl w:ilvl="0">
      <w:lvlJc w:val="left"/>
      <w:lvlText w:val="%1."/>
      <w:numFmt w:val="decimal"/>
      <w:start w:val="6"/>
    </w:lvl>
  </w:abstractNum>
  <w:abstractNum w:abstractNumId="190">
    <w:nsid w:val="5E963896"/>
    <w:multiLevelType w:val="hybridMultilevel"/>
    <w:lvl w:ilvl="0">
      <w:lvlJc w:val="left"/>
      <w:lvlText w:val="%1."/>
      <w:numFmt w:val="decimal"/>
      <w:start w:val="7"/>
    </w:lvl>
  </w:abstractNum>
  <w:abstractNum w:abstractNumId="191">
    <w:nsid w:val="775BA7C1"/>
    <w:multiLevelType w:val="hybridMultilevel"/>
    <w:lvl w:ilvl="0">
      <w:lvlJc w:val="left"/>
      <w:lvlText w:val="%1."/>
      <w:numFmt w:val="decimal"/>
      <w:start w:val="8"/>
    </w:lvl>
  </w:abstractNum>
  <w:abstractNum w:abstractNumId="192">
    <w:nsid w:val="1DD6D6F4"/>
    <w:multiLevelType w:val="hybridMultilevel"/>
    <w:lvl w:ilvl="0">
      <w:lvlJc w:val="left"/>
      <w:lvlText w:val="%1."/>
      <w:numFmt w:val="decimal"/>
      <w:start w:val="13"/>
    </w:lvl>
  </w:abstractNum>
  <w:abstractNum w:abstractNumId="193">
    <w:nsid w:val="769A091F"/>
    <w:multiLevelType w:val="hybridMultilevel"/>
    <w:lvl w:ilvl="0">
      <w:lvlJc w:val="left"/>
      <w:lvlText w:val="(%1)"/>
      <w:numFmt w:val="lowerLetter"/>
      <w:start w:val="2"/>
    </w:lvl>
    <w:lvl w:ilvl="1">
      <w:lvlJc w:val="left"/>
      <w:lvlText w:val="(%2)"/>
      <w:numFmt w:val="lowerRoman"/>
      <w:start w:val="2"/>
    </w:lvl>
  </w:abstractNum>
  <w:abstractNum w:abstractNumId="194">
    <w:nsid w:val="4695AE9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5">
    <w:nsid w:val="777A4EAA"/>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96">
    <w:nsid w:val="3F48B982"/>
    <w:multiLevelType w:val="hybridMultilevel"/>
    <w:lvl w:ilvl="0">
      <w:lvlJc w:val="left"/>
      <w:lvlText w:val="%1."/>
      <w:numFmt w:val="decimal"/>
      <w:start w:val="15"/>
    </w:lvl>
    <w:lvl w:ilvl="1">
      <w:lvlJc w:val="left"/>
      <w:lvlText w:val="(%2)"/>
      <w:numFmt w:val="lowerLetter"/>
      <w:start w:val="1"/>
    </w:lvl>
  </w:abstractNum>
  <w:abstractNum w:abstractNumId="197">
    <w:nsid w:val="46BA8FCA"/>
    <w:multiLevelType w:val="hybridMultilevel"/>
    <w:lvl w:ilvl="0">
      <w:lvlJc w:val="left"/>
      <w:lvlText w:val="%1."/>
      <w:numFmt w:val="decimal"/>
      <w:start w:val="16"/>
    </w:lvl>
  </w:abstractNum>
  <w:abstractNum w:abstractNumId="198">
    <w:nsid w:val="7835626C"/>
    <w:multiLevelType w:val="hybridMultilevel"/>
    <w:lvl w:ilvl="0">
      <w:lvlJc w:val="left"/>
      <w:lvlText w:val="%1."/>
      <w:numFmt w:val="decimal"/>
      <w:start w:val="19"/>
    </w:lvl>
  </w:abstractNum>
  <w:abstractNum w:abstractNumId="199">
    <w:nsid w:val="665ACA49"/>
    <w:multiLevelType w:val="hybridMultilevel"/>
    <w:lvl w:ilvl="0">
      <w:lvlJc w:val="left"/>
      <w:lvlText w:val="%1."/>
      <w:numFmt w:val="decimal"/>
      <w:start w:val="22"/>
    </w:lvl>
  </w:abstractNum>
  <w:abstractNum w:abstractNumId="200">
    <w:nsid w:val="6835B2AE"/>
    <w:multiLevelType w:val="hybridMultilevel"/>
    <w:lvl w:ilvl="0">
      <w:lvlJc w:val="left"/>
      <w:lvlText w:val="%1."/>
      <w:numFmt w:val="decimal"/>
      <w:start w:val="23"/>
    </w:lvl>
  </w:abstractNum>
  <w:abstractNum w:abstractNumId="201">
    <w:nsid w:val="4C187C90"/>
    <w:multiLevelType w:val="hybridMultilevel"/>
    <w:lvl w:ilvl="0">
      <w:lvlJc w:val="left"/>
      <w:lvlText w:val="%1."/>
      <w:numFmt w:val="decimal"/>
      <w:start w:val="24"/>
    </w:lvl>
  </w:abstractNum>
  <w:abstractNum w:abstractNumId="202">
    <w:nsid w:val="541F28CD"/>
    <w:multiLevelType w:val="hybridMultilevel"/>
    <w:lvl w:ilvl="0">
      <w:lvlJc w:val="left"/>
      <w:lvlText w:val="%1."/>
      <w:numFmt w:val="decimal"/>
      <w:start w:val="28"/>
    </w:lvl>
  </w:abstractNum>
  <w:abstractNum w:abstractNumId="203">
    <w:nsid w:val="7F65FD16"/>
    <w:multiLevelType w:val="hybridMultilevel"/>
    <w:lvl w:ilvl="0">
      <w:lvlJc w:val="left"/>
      <w:lvlText w:val="%1."/>
      <w:numFmt w:val="decimal"/>
      <w:start w:val="30"/>
    </w:lvl>
  </w:abstractNum>
  <w:abstractNum w:abstractNumId="204">
    <w:nsid w:val="77C9FD68"/>
    <w:multiLevelType w:val="hybridMultilevel"/>
    <w:lvl w:ilvl="0">
      <w:lvlJc w:val="left"/>
      <w:lvlText w:val="%1."/>
      <w:numFmt w:val="decimal"/>
      <w:start w:val="34"/>
    </w:lvl>
  </w:abstractNum>
  <w:abstractNum w:abstractNumId="205">
    <w:nsid w:val="298A92BA"/>
    <w:multiLevelType w:val="hybridMultilevel"/>
    <w:lvl w:ilvl="0">
      <w:lvlJc w:val="left"/>
      <w:lvlText w:val="%1."/>
      <w:numFmt w:val="decimal"/>
      <w:start w:val="38"/>
    </w:lvl>
  </w:abstractNum>
  <w:abstractNum w:abstractNumId="206">
    <w:nsid w:val="6FE95EAC"/>
    <w:multiLevelType w:val="hybridMultilevel"/>
    <w:lvl w:ilvl="0">
      <w:lvlJc w:val="left"/>
      <w:lvlText w:val="%1."/>
      <w:numFmt w:val="decimal"/>
      <w:start w:val="41"/>
    </w:lvl>
  </w:abstractNum>
  <w:abstractNum w:abstractNumId="207">
    <w:nsid w:val="4B697C7A"/>
    <w:multiLevelType w:val="hybridMultilevel"/>
    <w:lvl w:ilvl="0">
      <w:lvlJc w:val="left"/>
      <w:lvlText w:val="%1."/>
      <w:numFmt w:val="decimal"/>
      <w:start w:val="42"/>
    </w:lvl>
  </w:abstractNum>
  <w:abstractNum w:abstractNumId="208">
    <w:nsid w:val="51A27AA6"/>
    <w:multiLevelType w:val="hybridMultilevel"/>
    <w:lvl w:ilvl="0">
      <w:lvlJc w:val="left"/>
      <w:lvlText w:val="%1."/>
      <w:numFmt w:val="decimal"/>
      <w:start w:val="45"/>
    </w:lvl>
    <w:lvl w:ilvl="1">
      <w:lvlJc w:val="left"/>
      <w:lvlText w:val="(%2)"/>
      <w:numFmt w:val="lowerLetter"/>
      <w:start w:val="1"/>
    </w:lvl>
  </w:abstractNum>
  <w:abstractNum w:abstractNumId="209">
    <w:nsid w:val="613183F2"/>
    <w:multiLevelType w:val="hybridMultilevel"/>
    <w:lvl w:ilvl="0">
      <w:lvlJc w:val="left"/>
      <w:lvlText w:val="%1."/>
      <w:numFmt w:val="decimal"/>
      <w:start w:val="49"/>
    </w:lvl>
  </w:abstractNum>
  <w:abstractNum w:abstractNumId="210">
    <w:nsid w:val="634102B4"/>
    <w:multiLevelType w:val="hybridMultilevel"/>
    <w:lvl w:ilvl="0">
      <w:lvlJc w:val="left"/>
      <w:lvlText w:val="%1."/>
      <w:numFmt w:val="decimal"/>
      <w:start w:val="50"/>
    </w:lvl>
  </w:abstractNum>
  <w:abstractNum w:abstractNumId="211">
    <w:nsid w:val="65BF9DA8"/>
    <w:multiLevelType w:val="hybridMultilevel"/>
    <w:lvl w:ilvl="0">
      <w:lvlJc w:val="left"/>
      <w:lvlText w:val="%1."/>
      <w:numFmt w:val="decimal"/>
      <w:start w:val="52"/>
    </w:lvl>
    <w:lvl w:ilvl="1">
      <w:lvlJc w:val="left"/>
      <w:lvlText w:val="(%2)"/>
      <w:numFmt w:val="lowerLetter"/>
      <w:start w:val="2"/>
    </w:lvl>
  </w:abstractNum>
  <w:abstractNum w:abstractNumId="212">
    <w:nsid w:val="21A2ECCA"/>
    <w:multiLevelType w:val="hybridMultilevel"/>
    <w:lvl w:ilvl="0">
      <w:lvlJc w:val="left"/>
      <w:lvlText w:val="(%1)"/>
      <w:numFmt w:val="lowerLetter"/>
      <w:start w:val="5"/>
    </w:lvl>
  </w:abstractNum>
  <w:abstractNum w:abstractNumId="213">
    <w:nsid w:val="4D5C4899"/>
    <w:multiLevelType w:val="hybridMultilevel"/>
    <w:lvl w:ilvl="0">
      <w:lvlJc w:val="left"/>
      <w:lvlText w:val="%1."/>
      <w:numFmt w:val="decimal"/>
      <w:start w:val="55"/>
    </w:lvl>
    <w:lvl w:ilvl="1">
      <w:lvlJc w:val="left"/>
      <w:lvlText w:val="(%2)"/>
      <w:numFmt w:val="lowerLetter"/>
      <w:start w:val="1"/>
    </w:lvl>
  </w:abstractNum>
  <w:abstractNum w:abstractNumId="214">
    <w:nsid w:val="3C3B72B2"/>
    <w:multiLevelType w:val="hybridMultilevel"/>
    <w:lvl w:ilvl="0">
      <w:lvlJc w:val="left"/>
      <w:lvlText w:val="%1."/>
      <w:numFmt w:val="decimal"/>
      <w:start w:val="57"/>
    </w:lvl>
  </w:abstractNum>
  <w:abstractNum w:abstractNumId="215">
    <w:nsid w:val="155EC4C2"/>
    <w:multiLevelType w:val="hybridMultilevel"/>
    <w:lvl w:ilvl="0">
      <w:lvlJc w:val="left"/>
      <w:lvlText w:val="%1."/>
      <w:numFmt w:val="decimal"/>
      <w:start w:val="59"/>
    </w:lvl>
  </w:abstractNum>
  <w:abstractNum w:abstractNumId="216">
    <w:nsid w:val="65D2A137"/>
    <w:multiLevelType w:val="hybridMultilevel"/>
    <w:lvl w:ilvl="0">
      <w:lvlJc w:val="left"/>
      <w:lvlText w:val="%1."/>
      <w:numFmt w:val="decimal"/>
      <w:start w:val="66"/>
    </w:lvl>
  </w:abstractNum>
  <w:abstractNum w:abstractNumId="217">
    <w:nsid w:val="6EBB1F2A"/>
    <w:multiLevelType w:val="hybridMultilevel"/>
    <w:lvl w:ilvl="0">
      <w:lvlJc w:val="left"/>
      <w:lvlText w:val="%1."/>
      <w:numFmt w:val="decimal"/>
      <w:start w:val="67"/>
    </w:lvl>
  </w:abstractNum>
  <w:abstractNum w:abstractNumId="218">
    <w:nsid w:val="6FBF29CB"/>
    <w:multiLevelType w:val="hybridMultilevel"/>
    <w:lvl w:ilvl="0">
      <w:lvlJc w:val="left"/>
      <w:lvlText w:val="%1."/>
      <w:numFmt w:val="decimal"/>
      <w:start w:val="75"/>
    </w:lvl>
  </w:abstractNum>
  <w:abstractNum w:abstractNumId="219">
    <w:nsid w:val="550B8808"/>
    <w:multiLevelType w:val="hybridMultilevel"/>
    <w:lvl w:ilvl="0">
      <w:lvlJc w:val="left"/>
      <w:lvlText w:val="%1."/>
      <w:numFmt w:val="decimal"/>
      <w:start w:val="76"/>
    </w:lvl>
  </w:abstractNum>
  <w:abstractNum w:abstractNumId="220">
    <w:nsid w:val="34CC3ACF"/>
    <w:multiLevelType w:val="hybridMultilevel"/>
    <w:lvl w:ilvl="0">
      <w:lvlJc w:val="left"/>
      <w:lvlText w:val="%1."/>
      <w:numFmt w:val="decimal"/>
      <w:start w:val="77"/>
    </w:lvl>
    <w:lvl w:ilvl="1">
      <w:lvlJc w:val="left"/>
      <w:lvlText w:val="(%2)"/>
      <w:numFmt w:val="upperLetter"/>
      <w:start w:val="2"/>
    </w:lvl>
  </w:abstractNum>
  <w:abstractNum w:abstractNumId="221">
    <w:nsid w:val="4E556261"/>
    <w:multiLevelType w:val="hybridMultilevel"/>
    <w:lvl w:ilvl="0">
      <w:lvlJc w:val="left"/>
      <w:lvlText w:val="%1."/>
      <w:numFmt w:val="decimal"/>
      <w:start w:val="80"/>
    </w:lvl>
  </w:abstractNum>
  <w:abstractNum w:abstractNumId="222">
    <w:nsid w:val="4C672FC9"/>
    <w:multiLevelType w:val="hybridMultilevel"/>
    <w:lvl w:ilvl="0">
      <w:lvlJc w:val="left"/>
      <w:lvlText w:val="%1."/>
      <w:numFmt w:val="decimal"/>
      <w:start w:val="82"/>
    </w:lvl>
  </w:abstractNum>
  <w:abstractNum w:abstractNumId="223">
    <w:nsid w:val="52A311C3"/>
    <w:multiLevelType w:val="hybridMultilevel"/>
    <w:lvl w:ilvl="0">
      <w:lvlJc w:val="left"/>
      <w:lvlText w:val="%1."/>
      <w:numFmt w:val="decimal"/>
      <w:start w:val="84"/>
    </w:lvl>
  </w:abstractNum>
  <w:abstractNum w:abstractNumId="224">
    <w:nsid w:val="44EF6B80"/>
    <w:multiLevelType w:val="hybridMultilevel"/>
    <w:lvl w:ilvl="0">
      <w:lvlJc w:val="left"/>
      <w:lvlText w:val="%1."/>
      <w:numFmt w:val="decimal"/>
      <w:start w:val="86"/>
    </w:lvl>
  </w:abstractNum>
  <w:abstractNum w:abstractNumId="225">
    <w:nsid w:val="12FCDE5E"/>
    <w:multiLevelType w:val="hybridMultilevel"/>
    <w:lvl w:ilvl="0">
      <w:lvlJc w:val="left"/>
      <w:lvlText w:val="%1."/>
      <w:numFmt w:val="decimal"/>
      <w:start w:val="92"/>
    </w:lvl>
  </w:abstractNum>
  <w:abstractNum w:abstractNumId="226">
    <w:nsid w:val="4A1D606E"/>
    <w:multiLevelType w:val="hybridMultilevel"/>
    <w:lvl w:ilvl="0">
      <w:lvlJc w:val="left"/>
      <w:lvlText w:val="%1."/>
      <w:numFmt w:val="decimal"/>
      <w:start w:val="95"/>
    </w:lvl>
    <w:lvl w:ilvl="1">
      <w:lvlJc w:val="left"/>
      <w:lvlText w:val="(%2)"/>
      <w:numFmt w:val="lowerLetter"/>
      <w:start w:val="1"/>
    </w:lvl>
  </w:abstractNum>
  <w:abstractNum w:abstractNumId="227">
    <w:nsid w:val="4382503"/>
    <w:multiLevelType w:val="hybridMultilevel"/>
    <w:lvl w:ilvl="0">
      <w:lvlJc w:val="left"/>
      <w:lvlText w:val="%1."/>
      <w:numFmt w:val="decimal"/>
      <w:start w:val="96"/>
    </w:lvl>
  </w:abstractNum>
  <w:abstractNum w:abstractNumId="228">
    <w:nsid w:val="59B76E28"/>
    <w:multiLevelType w:val="hybridMultilevel"/>
    <w:lvl w:ilvl="0">
      <w:lvlJc w:val="left"/>
      <w:lvlText w:val="%1."/>
      <w:numFmt w:val="decimal"/>
      <w:start w:val="97"/>
    </w:lvl>
  </w:abstractNum>
  <w:abstractNum w:abstractNumId="229">
    <w:nsid w:val="4252C2DA"/>
    <w:multiLevelType w:val="hybridMultilevel"/>
    <w:lvl w:ilvl="0">
      <w:lvlJc w:val="left"/>
      <w:lvlText w:val="%1."/>
      <w:numFmt w:val="decimal"/>
      <w:start w:val="102"/>
    </w:lvl>
    <w:lvl w:ilvl="1">
      <w:lvlJc w:val="left"/>
      <w:lvlText w:val="(%2)"/>
      <w:numFmt w:val="lowerLetter"/>
      <w:start w:val="1"/>
    </w:lvl>
  </w:abstractNum>
  <w:abstractNum w:abstractNumId="230">
    <w:nsid w:val="6A92EF4C"/>
    <w:multiLevelType w:val="hybridMultilevel"/>
    <w:lvl w:ilvl="0">
      <w:lvlJc w:val="left"/>
      <w:lvlText w:val="%1."/>
      <w:numFmt w:val="decimal"/>
      <w:start w:val="110"/>
    </w:lvl>
  </w:abstractNum>
  <w:abstractNum w:abstractNumId="231">
    <w:nsid w:val="41ED20D7"/>
    <w:multiLevelType w:val="hybridMultilevel"/>
    <w:lvl w:ilvl="0">
      <w:lvlJc w:val="left"/>
      <w:lvlText w:val="%1."/>
      <w:numFmt w:val="decimal"/>
      <w:start w:val="111"/>
    </w:lvl>
  </w:abstractNum>
  <w:abstractNum w:abstractNumId="232">
    <w:nsid w:val="E6B3F6A"/>
    <w:multiLevelType w:val="hybridMultilevel"/>
    <w:lvl w:ilvl="0">
      <w:lvlJc w:val="left"/>
      <w:lvlText w:val="%1."/>
      <w:numFmt w:val="decimal"/>
      <w:start w:val="116"/>
    </w:lvl>
  </w:abstractNum>
  <w:abstractNum w:abstractNumId="233">
    <w:nsid w:val="3EB21819"/>
    <w:multiLevelType w:val="hybridMultilevel"/>
    <w:lvl w:ilvl="0">
      <w:lvlJc w:val="left"/>
      <w:lvlText w:val="%1."/>
      <w:numFmt w:val="decimal"/>
      <w:start w:val="120"/>
    </w:lvl>
  </w:abstractNum>
  <w:abstractNum w:abstractNumId="234">
    <w:nsid w:val="41531DED"/>
    <w:multiLevelType w:val="hybridMultilevel"/>
    <w:lvl w:ilvl="0">
      <w:lvlJc w:val="left"/>
      <w:lvlText w:val="%1."/>
      <w:numFmt w:val="decimal"/>
      <w:start w:val="124"/>
    </w:lvl>
  </w:abstractNum>
  <w:abstractNum w:abstractNumId="235">
    <w:nsid w:val="6353CD2"/>
    <w:multiLevelType w:val="hybridMultilevel"/>
    <w:lvl w:ilvl="0">
      <w:lvlJc w:val="left"/>
      <w:lvlText w:val="%1."/>
      <w:numFmt w:val="decimal"/>
      <w:start w:val="125"/>
    </w:lvl>
  </w:abstractNum>
  <w:abstractNum w:abstractNumId="236">
    <w:nsid w:val="683CAAD3"/>
    <w:multiLevelType w:val="hybridMultilevel"/>
    <w:lvl w:ilvl="0">
      <w:lvlJc w:val="left"/>
      <w:lvlText w:val="%1."/>
      <w:numFmt w:val="decimal"/>
      <w:start w:val="126"/>
    </w:lvl>
  </w:abstractNum>
  <w:abstractNum w:abstractNumId="237">
    <w:nsid w:val="313C7C99"/>
    <w:multiLevelType w:val="hybridMultilevel"/>
    <w:lvl w:ilvl="0">
      <w:lvlJc w:val="left"/>
      <w:lvlText w:val="%1."/>
      <w:numFmt w:val="decimal"/>
      <w:start w:val="128"/>
    </w:lvl>
  </w:abstractNum>
  <w:abstractNum w:abstractNumId="238">
    <w:nsid w:val="519EB94C"/>
    <w:multiLevelType w:val="hybridMultilevel"/>
    <w:lvl w:ilvl="0">
      <w:lvlJc w:val="left"/>
      <w:lvlText w:val="%1."/>
      <w:numFmt w:val="decimal"/>
      <w:start w:val="131"/>
    </w:lvl>
  </w:abstractNum>
  <w:abstractNum w:abstractNumId="239">
    <w:nsid w:val="39DF2579"/>
    <w:multiLevelType w:val="hybridMultilevel"/>
    <w:lvl w:ilvl="0">
      <w:lvlJc w:val="left"/>
      <w:lvlText w:val="%1."/>
      <w:numFmt w:val="decimal"/>
      <w:start w:val="132"/>
    </w:lvl>
    <w:lvl w:ilvl="1">
      <w:lvlJc w:val="left"/>
      <w:lvlText w:val="(%2)"/>
      <w:numFmt w:val="lowerLetter"/>
      <w:start w:val="1"/>
    </w:lvl>
    <w:lvl w:ilvl="2">
      <w:lvlJc w:val="left"/>
      <w:lvlText w:val="(%3)"/>
      <w:numFmt w:val="lowerRoman"/>
      <w:start w:val="1"/>
    </w:lvl>
  </w:abstractNum>
  <w:abstractNum w:abstractNumId="240">
    <w:nsid w:val="126E008B"/>
    <w:multiLevelType w:val="hybridMultilevel"/>
    <w:lvl w:ilvl="0">
      <w:lvlJc w:val="left"/>
      <w:lvlText w:val="(%1)"/>
      <w:numFmt w:val="lowerLetter"/>
      <w:start w:val="3"/>
    </w:lvl>
    <w:lvl w:ilvl="1">
      <w:lvlJc w:val="left"/>
      <w:lvlText w:val="(%2)"/>
      <w:numFmt w:val="lowerRoman"/>
      <w:start w:val="1"/>
    </w:lvl>
  </w:abstractNum>
  <w:abstractNum w:abstractNumId="241">
    <w:nsid w:val="34DFBC00"/>
    <w:multiLevelType w:val="hybridMultilevel"/>
    <w:lvl w:ilvl="0">
      <w:lvlJc w:val="left"/>
      <w:lvlText w:val="(%1)"/>
      <w:numFmt w:val="lowerLetter"/>
      <w:start w:val="5"/>
    </w:lvl>
  </w:abstractNum>
  <w:abstractNum w:abstractNumId="242">
    <w:nsid w:val="1F9EC322"/>
    <w:multiLevelType w:val="hybridMultilevel"/>
    <w:lvl w:ilvl="0">
      <w:lvlJc w:val="left"/>
      <w:lvlText w:val="%1."/>
      <w:numFmt w:val="decimal"/>
      <w:start w:val="133"/>
    </w:lvl>
  </w:abstractNum>
  <w:abstractNum w:abstractNumId="243">
    <w:nsid w:val="3410ED56"/>
    <w:multiLevelType w:val="hybridMultilevel"/>
    <w:lvl w:ilvl="0">
      <w:lvlJc w:val="left"/>
      <w:lvlText w:val="%1."/>
      <w:numFmt w:val="decimal"/>
      <w:start w:val="138"/>
    </w:lvl>
    <w:lvl w:ilvl="1">
      <w:lvlJc w:val="left"/>
      <w:lvlText w:val="(%2)"/>
      <w:numFmt w:val="lowerLetter"/>
      <w:start w:val="1"/>
    </w:lvl>
  </w:abstractNum>
  <w:abstractNum w:abstractNumId="244">
    <w:nsid w:val="23C049A"/>
    <w:multiLevelType w:val="hybridMultilevel"/>
    <w:lvl w:ilvl="0">
      <w:lvlJc w:val="left"/>
      <w:lvlText w:val="%1."/>
      <w:numFmt w:val="decimal"/>
      <w:start w:val="139"/>
    </w:lvl>
  </w:abstractNum>
  <w:abstractNum w:abstractNumId="245">
    <w:nsid w:val="5BDA35D4"/>
    <w:multiLevelType w:val="hybridMultilevel"/>
    <w:lvl w:ilvl="0">
      <w:lvlJc w:val="left"/>
      <w:lvlText w:val="%1."/>
      <w:numFmt w:val="decimal"/>
      <w:start w:val="141"/>
    </w:lvl>
  </w:abstractNum>
  <w:abstractNum w:abstractNumId="246">
    <w:nsid w:val="496FB218"/>
    <w:multiLevelType w:val="hybridMultilevel"/>
    <w:lvl w:ilvl="0">
      <w:lvlJc w:val="left"/>
      <w:lvlText w:val="%1."/>
      <w:numFmt w:val="decimal"/>
      <w:start w:val="143"/>
    </w:lvl>
  </w:abstractNum>
  <w:abstractNum w:abstractNumId="247">
    <w:nsid w:val="680EA5D1"/>
    <w:multiLevelType w:val="hybridMultilevel"/>
    <w:lvl w:ilvl="0">
      <w:lvlJc w:val="left"/>
      <w:lvlText w:val="%1."/>
      <w:numFmt w:val="decimal"/>
      <w:start w:val="144"/>
    </w:lvl>
  </w:abstractNum>
  <w:abstractNum w:abstractNumId="248">
    <w:nsid w:val="4A9554FE"/>
    <w:multiLevelType w:val="hybridMultilevel"/>
    <w:lvl w:ilvl="0">
      <w:lvlJc w:val="left"/>
      <w:lvlText w:val="%1."/>
      <w:numFmt w:val="decimal"/>
      <w:start w:val="145"/>
    </w:lvl>
  </w:abstractNum>
  <w:abstractNum w:abstractNumId="249">
    <w:nsid w:val="392EDBE4"/>
    <w:multiLevelType w:val="hybridMultilevel"/>
    <w:lvl w:ilvl="0">
      <w:lvlJc w:val="left"/>
      <w:lvlText w:val="%1."/>
      <w:numFmt w:val="decimal"/>
      <w:start w:val="146"/>
    </w:lvl>
  </w:abstractNum>
  <w:abstractNum w:abstractNumId="250">
    <w:nsid w:val="3D1A2DD9"/>
    <w:multiLevelType w:val="hybridMultilevel"/>
    <w:lvl w:ilvl="0">
      <w:lvlJc w:val="left"/>
      <w:lvlText w:val="%1."/>
      <w:numFmt w:val="decimal"/>
      <w:start w:val="147"/>
    </w:lvl>
  </w:abstractNum>
  <w:abstractNum w:abstractNumId="251">
    <w:nsid w:val="7F618FCD"/>
    <w:multiLevelType w:val="hybridMultilevel"/>
    <w:lvl w:ilvl="0">
      <w:lvlJc w:val="left"/>
      <w:lvlText w:val="(%1)"/>
      <w:numFmt w:val="lowerLetter"/>
      <w:start w:val="1"/>
    </w:lvl>
  </w:abstractNum>
  <w:abstractNum w:abstractNumId="252">
    <w:nsid w:val="7843E45"/>
    <w:multiLevelType w:val="hybridMultilevel"/>
    <w:lvl w:ilvl="0">
      <w:lvlJc w:val="left"/>
      <w:lvlText w:val="(%1)"/>
      <w:numFmt w:val="lowerLetter"/>
      <w:start w:val="2"/>
    </w:lvl>
  </w:abstractNum>
  <w:abstractNum w:abstractNumId="253">
    <w:nsid w:val="9815DA3"/>
    <w:multiLevelType w:val="hybridMultilevel"/>
    <w:lvl w:ilvl="0">
      <w:lvlJc w:val="left"/>
      <w:lvlText w:val="(%1)"/>
      <w:numFmt w:val="lowerLetter"/>
      <w:start w:val="2"/>
    </w:lvl>
  </w:abstractNum>
  <w:abstractNum w:abstractNumId="254">
    <w:nsid w:val="5204A191"/>
    <w:multiLevelType w:val="hybridMultilevel"/>
    <w:lvl w:ilvl="0">
      <w:lvlJc w:val="left"/>
      <w:lvlText w:val="(%1)"/>
      <w:numFmt w:val="lowerLetter"/>
      <w:start w:val="1"/>
    </w:lvl>
  </w:abstractNum>
  <w:abstractNum w:abstractNumId="255">
    <w:nsid w:val="4C73A9C6"/>
    <w:multiLevelType w:val="hybridMultilevel"/>
    <w:lvl w:ilvl="0">
      <w:lvlJc w:val="left"/>
      <w:lvlText w:val="(%1)"/>
      <w:numFmt w:val="lowerLetter"/>
      <w:start w:val="3"/>
    </w:lvl>
  </w:abstractNum>
  <w:abstractNum w:abstractNumId="256">
    <w:nsid w:val="1C7E3C01"/>
    <w:multiLevelType w:val="hybridMultilevel"/>
    <w:lvl w:ilvl="0">
      <w:lvlJc w:val="left"/>
      <w:lvlText w:val="(%1)"/>
      <w:numFmt w:val="lowerLetter"/>
      <w:start w:val="1"/>
    </w:lvl>
  </w:abstractNum>
  <w:abstractNum w:abstractNumId="257">
    <w:nsid w:val="1C2201FF"/>
    <w:multiLevelType w:val="hybridMultilevel"/>
    <w:lvl w:ilvl="0">
      <w:lvlJc w:val="left"/>
      <w:lvlText w:val="(%1)"/>
      <w:numFmt w:val="lowerLetter"/>
      <w:start w:val="2"/>
    </w:lvl>
  </w:abstractNum>
  <w:abstractNum w:abstractNumId="258">
    <w:nsid w:val="50ABCEC9"/>
    <w:multiLevelType w:val="hybridMultilevel"/>
    <w:lvl w:ilvl="0">
      <w:lvlJc w:val="left"/>
      <w:lvlText w:val="(%1)"/>
      <w:numFmt w:val="lowerLetter"/>
      <w:start w:val="4"/>
    </w:lvl>
  </w:abstractNum>
  <w:abstractNum w:abstractNumId="259">
    <w:nsid w:val="7635AA2A"/>
    <w:multiLevelType w:val="hybridMultilevel"/>
    <w:lvl w:ilvl="0">
      <w:lvlJc w:val="left"/>
      <w:lvlText w:val="(%1)"/>
      <w:numFmt w:val="lowerLetter"/>
      <w:start w:val="2"/>
    </w:lvl>
  </w:abstractNum>
  <w:abstractNum w:abstractNumId="260">
    <w:nsid w:val="5E74C4D9"/>
    <w:multiLevelType w:val="hybridMultilevel"/>
    <w:lvl w:ilvl="0">
      <w:lvlJc w:val="left"/>
      <w:lvlText w:val="(%1)"/>
      <w:numFmt w:val="lowerLetter"/>
      <w:start w:val="2"/>
    </w:lvl>
  </w:abstractNum>
  <w:abstractNum w:abstractNumId="261">
    <w:nsid w:val="3B3EBE15"/>
    <w:multiLevelType w:val="hybridMultilevel"/>
    <w:lvl w:ilvl="0">
      <w:lvlJc w:val="left"/>
      <w:lvlText w:val="(%1)"/>
      <w:numFmt w:val="lowerLetter"/>
      <w:start w:val="1"/>
    </w:lvl>
  </w:abstractNum>
  <w:abstractNum w:abstractNumId="262">
    <w:nsid w:val="3822CB01"/>
    <w:multiLevelType w:val="hybridMultilevel"/>
    <w:lvl w:ilvl="0">
      <w:lvlJc w:val="left"/>
      <w:lvlText w:val="(%1)"/>
      <w:numFmt w:val="lowerLetter"/>
      <w:start w:val="2"/>
    </w:lvl>
    <w:lvl w:ilvl="1">
      <w:lvlJc w:val="left"/>
      <w:lvlText w:val="(%2)"/>
      <w:numFmt w:val="lowerLetter"/>
      <w:start w:val="3"/>
    </w:lvl>
  </w:abstractNum>
  <w:abstractNum w:abstractNumId="263">
    <w:nsid w:val="6CE00443"/>
    <w:multiLevelType w:val="hybridMultilevel"/>
    <w:lvl w:ilvl="0">
      <w:lvlJc w:val="left"/>
      <w:lvlText w:val="(%1)"/>
      <w:numFmt w:val="lowerLetter"/>
      <w:start w:val="1"/>
    </w:lvl>
  </w:abstractNum>
  <w:abstractNum w:abstractNumId="264">
    <w:nsid w:val="79F0D62F"/>
    <w:multiLevelType w:val="hybridMultilevel"/>
    <w:lvl w:ilvl="0">
      <w:lvlJc w:val="left"/>
      <w:lvlText w:val="(%1)"/>
      <w:numFmt w:val="lowerRoman"/>
      <w:start w:val="3"/>
    </w:lvl>
  </w:abstractNum>
  <w:abstractNum w:abstractNumId="265">
    <w:nsid w:val="7975E8EE"/>
    <w:multiLevelType w:val="hybridMultilevel"/>
    <w:lvl w:ilvl="0">
      <w:lvlJc w:val="left"/>
      <w:lvlText w:val="(%1)"/>
      <w:numFmt w:val="lowerRoman"/>
      <w:start w:val="4"/>
    </w:lvl>
  </w:abstractNum>
  <w:abstractNum w:abstractNumId="266">
    <w:nsid w:val="73154115"/>
    <w:multiLevelType w:val="hybridMultilevel"/>
    <w:lvl w:ilvl="0">
      <w:lvlJc w:val="left"/>
      <w:lvlText w:val="(%1)"/>
      <w:numFmt w:val="lowerRoman"/>
      <w:start w:val="2"/>
    </w:lvl>
  </w:abstractNum>
  <w:abstractNum w:abstractNumId="267">
    <w:nsid w:val="622D8102"/>
    <w:multiLevelType w:val="hybridMultilevel"/>
    <w:lvl w:ilvl="0">
      <w:lvlJc w:val="left"/>
      <w:lvlText w:val="(%1)"/>
      <w:numFmt w:val="decimal"/>
      <w:start w:val="1"/>
    </w:lvl>
  </w:abstractNum>
  <w:abstractNum w:abstractNumId="268">
    <w:nsid w:val="2AB26587"/>
    <w:multiLevelType w:val="hybridMultilevel"/>
    <w:lvl w:ilvl="0">
      <w:lvlJc w:val="left"/>
      <w:lvlText w:val="(%1)"/>
      <w:numFmt w:val="lowerRoman"/>
      <w:start w:val="1"/>
    </w:lvl>
  </w:abstractNum>
  <w:abstractNum w:abstractNumId="269">
    <w:nsid w:val="44B3FA61"/>
    <w:multiLevelType w:val="hybridMultilevel"/>
    <w:lvl w:ilvl="0">
      <w:lvlJc w:val="left"/>
      <w:lvlText w:val="(%1)"/>
      <w:numFmt w:val="decimal"/>
      <w:start w:val="1"/>
    </w:lvl>
  </w:abstractNum>
  <w:abstractNum w:abstractNumId="270">
    <w:nsid w:val="1C0CA67C"/>
    <w:multiLevelType w:val="hybridMultilevel"/>
    <w:lvl w:ilvl="0">
      <w:lvlJc w:val="left"/>
      <w:lvlText w:val="(%1)"/>
      <w:numFmt w:val="lowerLetter"/>
      <w:start w:val="2"/>
    </w:lvl>
  </w:abstractNum>
  <w:abstractNum w:abstractNumId="271">
    <w:nsid w:val="3D206613"/>
    <w:multiLevelType w:val="hybridMultilevel"/>
    <w:lvl w:ilvl="0">
      <w:lvlJc w:val="left"/>
      <w:lvlText w:val="(%1)"/>
      <w:numFmt w:val="decimal"/>
      <w:start w:val="2"/>
    </w:lvl>
  </w:abstractNum>
  <w:abstractNum w:abstractNumId="272">
    <w:nsid w:val="7993B662"/>
    <w:multiLevelType w:val="hybridMultilevel"/>
    <w:lvl w:ilvl="0">
      <w:lvlJc w:val="left"/>
      <w:lvlText w:val="(%1)"/>
      <w:numFmt w:val="decimal"/>
      <w:start w:val="3"/>
    </w:lvl>
  </w:abstractNum>
  <w:abstractNum w:abstractNumId="273">
    <w:nsid w:val="3BAB699E"/>
    <w:multiLevelType w:val="hybridMultilevel"/>
    <w:lvl w:ilvl="0">
      <w:lvlJc w:val="left"/>
      <w:lvlText w:val="(%1)"/>
      <w:numFmt w:val="decimal"/>
      <w:start w:val="4"/>
    </w:lvl>
  </w:abstractNum>
  <w:abstractNum w:abstractNumId="274">
    <w:nsid w:val="71315369"/>
    <w:multiLevelType w:val="hybridMultilevel"/>
    <w:lvl w:ilvl="0">
      <w:lvlJc w:val="left"/>
      <w:lvlText w:val="(%1)"/>
      <w:numFmt w:val="lowerRoman"/>
      <w:start w:val="3"/>
    </w:lvl>
  </w:abstractNum>
  <w:abstractNum w:abstractNumId="275">
    <w:nsid w:val="7BCFBAFC"/>
    <w:multiLevelType w:val="hybridMultilevel"/>
    <w:lvl w:ilvl="0">
      <w:lvlJc w:val="left"/>
      <w:lvlText w:val="(%1)"/>
      <w:numFmt w:val="decimal"/>
      <w:start w:val="5"/>
    </w:lvl>
  </w:abstractNum>
  <w:abstractNum w:abstractNumId="276">
    <w:nsid w:val="17859F72"/>
    <w:multiLevelType w:val="hybridMultilevel"/>
    <w:lvl w:ilvl="0">
      <w:lvlJc w:val="left"/>
      <w:lvlText w:val="%1"/>
      <w:numFmt w:val="lowerRoman"/>
      <w:start w:val="1"/>
    </w:lvl>
    <w:lvl w:ilvl="1">
      <w:lvlJc w:val="left"/>
      <w:lvlText w:val="(%2)"/>
      <w:numFmt w:val="decimal"/>
      <w:start w:val="7"/>
    </w:lvl>
    <w:lvl w:ilvl="2">
      <w:lvlJc w:val="left"/>
      <w:lvlText w:val="%3"/>
      <w:numFmt w:val="lowerRoman"/>
      <w:start w:val="1"/>
    </w:lvl>
  </w:abstractNum>
  <w:abstractNum w:abstractNumId="277">
    <w:nsid w:val="3AA10581"/>
    <w:multiLevelType w:val="hybridMultilevel"/>
    <w:lvl w:ilvl="0">
      <w:lvlJc w:val="left"/>
      <w:lvlText w:val="(%1)"/>
      <w:numFmt w:val="lowerRoman"/>
      <w:start w:val="2"/>
    </w:lvl>
    <w:lvl w:ilvl="1">
      <w:lvlJc w:val="left"/>
      <w:lvlText w:val="(%2)"/>
      <w:numFmt w:val="decimal"/>
      <w:start w:val="8"/>
    </w:lvl>
    <w:lvl w:ilvl="2">
      <w:lvlJc w:val="left"/>
      <w:lvlText w:val="(%3)"/>
      <w:numFmt w:val="lowerRoman"/>
      <w:start w:val="1"/>
    </w:lvl>
  </w:abstractNum>
  <w:abstractNum w:abstractNumId="278">
    <w:nsid w:val="63DE60CD"/>
    <w:multiLevelType w:val="hybridMultilevel"/>
    <w:lvl w:ilvl="0">
      <w:lvlJc w:val="left"/>
      <w:lvlText w:val="%1"/>
      <w:numFmt w:val="lowerRoman"/>
      <w:start w:val="1"/>
    </w:lvl>
    <w:lvl w:ilvl="1">
      <w:lvlJc w:val="left"/>
      <w:lvlText w:val="(%2)"/>
      <w:numFmt w:val="lowerRoman"/>
      <w:start w:val="3"/>
    </w:lvl>
  </w:abstractNum>
  <w:abstractNum w:abstractNumId="279">
    <w:nsid w:val="621AF471"/>
    <w:multiLevelType w:val="hybridMultilevel"/>
    <w:lvl w:ilvl="0">
      <w:lvlJc w:val="left"/>
      <w:lvlText w:val="(%1)"/>
      <w:numFmt w:val="lowerRoman"/>
      <w:start w:val="4"/>
    </w:lvl>
    <w:lvl w:ilvl="1">
      <w:lvlJc w:val="left"/>
      <w:lvlText w:val="(%2)"/>
      <w:numFmt w:val="lowerRoman"/>
      <w:start w:val="6"/>
    </w:lvl>
  </w:abstractNum>
  <w:abstractNum w:abstractNumId="280">
    <w:nsid w:val="73CFE165"/>
    <w:multiLevelType w:val="hybridMultilevel"/>
    <w:lvl w:ilvl="0">
      <w:lvlJc w:val="left"/>
      <w:lvlText w:val="(%1)"/>
      <w:numFmt w:val="lowerRoman"/>
      <w:start w:val="1"/>
    </w:lvl>
  </w:abstractNum>
  <w:abstractNum w:abstractNumId="281">
    <w:nsid w:val="20F88EA6"/>
    <w:multiLevelType w:val="hybridMultilevel"/>
    <w:lvl w:ilvl="0">
      <w:lvlJc w:val="left"/>
      <w:lvlText w:val="(%1)"/>
      <w:numFmt w:val="decimal"/>
      <w:start w:val="10"/>
    </w:lvl>
  </w:abstractNum>
  <w:abstractNum w:abstractNumId="282">
    <w:nsid w:val="617C843E"/>
    <w:multiLevelType w:val="hybridMultilevel"/>
    <w:lvl w:ilvl="0">
      <w:lvlJc w:val="left"/>
      <w:lvlText w:val="(%1)"/>
      <w:numFmt w:val="decimal"/>
      <w:start w:val="13"/>
    </w:lvl>
  </w:abstractNum>
  <w:abstractNum w:abstractNumId="283">
    <w:nsid w:val="7B541FAB"/>
    <w:multiLevelType w:val="hybridMultilevel"/>
    <w:lvl w:ilvl="0">
      <w:lvlJc w:val="left"/>
      <w:lvlText w:val="(%1)"/>
      <w:numFmt w:val="decimal"/>
      <w:start w:val="14"/>
    </w:lvl>
  </w:abstractNum>
  <w:abstractNum w:abstractNumId="284">
    <w:nsid w:val="2A79EC49"/>
    <w:multiLevelType w:val="hybridMultilevel"/>
    <w:lvl w:ilvl="0">
      <w:lvlJc w:val="left"/>
      <w:lvlText w:val="(%1)"/>
      <w:numFmt w:val="decimal"/>
      <w:start w:val="16"/>
    </w:lvl>
  </w:abstractNum>
  <w:abstractNum w:abstractNumId="285">
    <w:nsid w:val="338125CF"/>
    <w:multiLevelType w:val="hybridMultilevel"/>
    <w:lvl w:ilvl="0">
      <w:lvlJc w:val="left"/>
      <w:lvlText w:val="(%1)"/>
      <w:numFmt w:val="decimal"/>
      <w:start w:val="18"/>
    </w:lvl>
  </w:abstractNum>
  <w:abstractNum w:abstractNumId="286">
    <w:nsid w:val="47C7C971"/>
    <w:multiLevelType w:val="hybridMultilevel"/>
    <w:lvl w:ilvl="0">
      <w:lvlJc w:val="left"/>
      <w:lvlText w:val="(%1)"/>
      <w:numFmt w:val="lowerRoman"/>
      <w:start w:val="1"/>
    </w:lvl>
    <w:lvl w:ilvl="1">
      <w:lvlJc w:val="left"/>
      <w:lvlText w:val="(%2)"/>
      <w:numFmt w:val="decimal"/>
      <w:start w:val="20"/>
    </w:lvl>
  </w:abstractNum>
  <w:abstractNum w:abstractNumId="287">
    <w:nsid w:val="46F8284B"/>
    <w:multiLevelType w:val="hybridMultilevel"/>
    <w:lvl w:ilvl="0">
      <w:lvlJc w:val="left"/>
      <w:lvlText w:val="(%1)"/>
      <w:numFmt w:val="decimal"/>
      <w:start w:val="21"/>
    </w:lvl>
  </w:abstractNum>
  <w:abstractNum w:abstractNumId="288">
    <w:nsid w:val="4FA327CE"/>
    <w:multiLevelType w:val="hybridMultilevel"/>
    <w:lvl w:ilvl="0">
      <w:lvlJc w:val="left"/>
      <w:lvlText w:val="%1"/>
      <w:numFmt w:val="decimal"/>
      <w:start w:val="1"/>
    </w:lvl>
    <w:lvl w:ilvl="1">
      <w:lvlJc w:val="left"/>
      <w:lvlText w:val="(%2)"/>
      <w:numFmt w:val="decimal"/>
      <w:start w:val="22"/>
    </w:lvl>
  </w:abstractNum>
  <w:abstractNum w:abstractNumId="289">
    <w:nsid w:val="1873983A"/>
    <w:multiLevelType w:val="hybridMultilevel"/>
    <w:lvl w:ilvl="0">
      <w:lvlJc w:val="left"/>
      <w:lvlText w:val="(%1)"/>
      <w:numFmt w:val="decimal"/>
      <w:start w:val="3"/>
    </w:lvl>
    <w:lvl w:ilvl="1">
      <w:lvlJc w:val="left"/>
      <w:lvlText w:val="%2"/>
      <w:numFmt w:val="decimal"/>
      <w:start w:val="1"/>
    </w:lvl>
  </w:abstractNum>
  <w:abstractNum w:abstractNumId="290">
    <w:nsid w:val="3D2DD275"/>
    <w:multiLevelType w:val="hybridMultilevel"/>
    <w:lvl w:ilvl="0">
      <w:lvlJc w:val="left"/>
      <w:lvlText w:val="(%1)"/>
      <w:numFmt w:val="decimal"/>
      <w:start w:val="24"/>
    </w:lvl>
  </w:abstractNum>
  <w:abstractNum w:abstractNumId="291">
    <w:nsid w:val="2E17ECA7"/>
    <w:multiLevelType w:val="hybridMultilevel"/>
    <w:lvl w:ilvl="0">
      <w:lvlJc w:val="left"/>
      <w:lvlText w:val="%1."/>
      <w:numFmt w:val="upperLetter"/>
      <w:start w:val="2"/>
    </w:lvl>
  </w:abstractNum>
  <w:abstractNum w:abstractNumId="292">
    <w:nsid w:val="53B2564F"/>
    <w:multiLevelType w:val="hybridMultilevel"/>
    <w:lvl w:ilvl="0">
      <w:lvlJc w:val="left"/>
      <w:lvlText w:val="%1."/>
      <w:numFmt w:val="decimal"/>
      <w:start w:val="1"/>
    </w:lvl>
  </w:abstractNum>
  <w:abstractNum w:abstractNumId="293">
    <w:nsid w:val="75509D76"/>
    <w:multiLevelType w:val="hybridMultilevel"/>
    <w:lvl w:ilvl="0">
      <w:lvlJc w:val="left"/>
      <w:lvlText w:val="%1."/>
      <w:numFmt w:val="upperLetter"/>
      <w:start w:val="3"/>
    </w:lvl>
  </w:abstractNum>
  <w:abstractNum w:abstractNumId="294">
    <w:nsid w:val="1AF7F0EA"/>
    <w:multiLevelType w:val="hybridMultilevel"/>
    <w:lvl w:ilvl="0">
      <w:lvlJc w:val="left"/>
      <w:lvlText w:val="(%1)"/>
      <w:numFmt w:val="lowerLetter"/>
      <w:start w:val="1"/>
    </w:lvl>
  </w:abstractNum>
  <w:abstractNum w:abstractNumId="295">
    <w:nsid w:val="4DA32C7E"/>
    <w:multiLevelType w:val="hybridMultilevel"/>
    <w:lvl w:ilvl="0">
      <w:lvlJc w:val="left"/>
      <w:lvlText w:val="(%1)"/>
      <w:numFmt w:val="lowerLetter"/>
      <w:start w:val="2"/>
    </w:lvl>
  </w:abstractNum>
  <w:abstractNum w:abstractNumId="296">
    <w:nsid w:val="6EC68664"/>
    <w:multiLevelType w:val="hybridMultilevel"/>
    <w:lvl w:ilvl="0">
      <w:lvlJc w:val="left"/>
      <w:lvlText w:val="(%1)"/>
      <w:numFmt w:val="lowerLetter"/>
      <w:start w:val="7"/>
    </w:lvl>
  </w:abstractNum>
  <w:abstractNum w:abstractNumId="297">
    <w:nsid w:val="E0D31FF"/>
    <w:multiLevelType w:val="hybridMultilevel"/>
    <w:lvl w:ilvl="0">
      <w:lvlJc w:val="left"/>
      <w:lvlText w:val="%1"/>
      <w:numFmt w:val="lowerLetter"/>
      <w:start w:val="1"/>
    </w:lvl>
    <w:lvl w:ilvl="1">
      <w:lvlJc w:val="left"/>
      <w:lvlText w:val="(%2)"/>
      <w:numFmt w:val="lowerLetter"/>
      <w:start w:val="11"/>
    </w:lvl>
  </w:abstractNum>
  <w:abstractNum w:abstractNumId="298">
    <w:nsid w:val="2FD0AD81"/>
    <w:multiLevelType w:val="hybridMultilevel"/>
    <w:lvl w:ilvl="0">
      <w:lvlJc w:val="left"/>
      <w:lvlText w:val="(%1)"/>
      <w:numFmt w:val="lowerLetter"/>
      <w:start w:val="61"/>
    </w:lvl>
    <w:lvl w:ilvl="1">
      <w:lvlJc w:val="left"/>
      <w:lvlText w:val="(%2)"/>
      <w:numFmt w:val="lowerLetter"/>
      <w:start w:val="12"/>
    </w:lvl>
  </w:abstractNum>
  <w:abstractNum w:abstractNumId="299">
    <w:nsid w:val="1978EBEB"/>
    <w:multiLevelType w:val="hybridMultilevel"/>
    <w:lvl w:ilvl="0">
      <w:lvlJc w:val="left"/>
      <w:lvlText w:val="(%1)"/>
      <w:numFmt w:val="lowerLetter"/>
      <w:start w:val="16"/>
    </w:lvl>
  </w:abstractNum>
  <w:abstractNum w:abstractNumId="300">
    <w:nsid w:val="52C12C61"/>
    <w:multiLevelType w:val="hybridMultilevel"/>
    <w:lvl w:ilvl="0">
      <w:lvlJc w:val="left"/>
      <w:lvlText w:val="%1"/>
      <w:numFmt w:val="lowerLetter"/>
      <w:start w:val="1"/>
    </w:lvl>
    <w:lvl w:ilvl="1">
      <w:lvlJc w:val="left"/>
      <w:lvlText w:val="(%2)"/>
      <w:numFmt w:val="lowerLetter"/>
      <w:start w:val="23"/>
    </w:lvl>
  </w:abstractNum>
  <w:abstractNum w:abstractNumId="301">
    <w:nsid w:val="4BDD53FD"/>
    <w:multiLevelType w:val="hybridMultilevel"/>
    <w:lvl w:ilvl="0">
      <w:lvlJc w:val="left"/>
      <w:lvlText w:val="(%1)"/>
      <w:numFmt w:val="lowerLetter"/>
      <w:start w:val="9"/>
    </w:lvl>
    <w:lvl w:ilvl="1">
      <w:lvlJc w:val="left"/>
      <w:lvlText w:val="(%2)"/>
      <w:numFmt w:val="lowerLetter"/>
      <w:start w:val="26"/>
    </w:lvl>
  </w:abstractNum>
  <w:abstractNum w:abstractNumId="302">
    <w:nsid w:val="569951FE"/>
    <w:multiLevelType w:val="hybridMultilevel"/>
    <w:lvl w:ilvl="0">
      <w:lvlJc w:val="left"/>
      <w:lvlText w:val="(%1)"/>
      <w:numFmt w:val="lowerLetter"/>
      <w:start w:val="27"/>
    </w:lvl>
  </w:abstractNum>
  <w:abstractNum w:abstractNumId="303">
    <w:nsid w:val="4C54E2C3"/>
    <w:multiLevelType w:val="hybridMultilevel"/>
    <w:lvl w:ilvl="0">
      <w:lvlJc w:val="left"/>
      <w:lvlText w:val="(%1)"/>
      <w:numFmt w:val="lowerLetter"/>
      <w:start w:val="28"/>
    </w:lvl>
  </w:abstractNum>
  <w:abstractNum w:abstractNumId="304">
    <w:nsid w:val="788BD9B"/>
    <w:multiLevelType w:val="hybridMultilevel"/>
    <w:lvl w:ilvl="0">
      <w:lvlJc w:val="left"/>
      <w:lvlText w:val="(%1)"/>
      <w:numFmt w:val="lowerLetter"/>
      <w:start w:val="34"/>
    </w:lvl>
  </w:abstractNum>
  <w:abstractNum w:abstractNumId="305">
    <w:nsid w:val="47CAA567"/>
    <w:multiLevelType w:val="hybridMultilevel"/>
    <w:lvl w:ilvl="0">
      <w:lvlJc w:val="left"/>
      <w:lvlText w:val="(%1)"/>
      <w:numFmt w:val="lowerLetter"/>
      <w:start w:val="1"/>
    </w:lvl>
  </w:abstractNum>
  <w:abstractNum w:abstractNumId="306">
    <w:nsid w:val="48249DBF"/>
    <w:multiLevelType w:val="hybridMultilevel"/>
    <w:lvl w:ilvl="0">
      <w:lvlJc w:val="left"/>
      <w:lvlText w:val="(%1)"/>
      <w:numFmt w:val="lowerLetter"/>
      <w:start w:val="2"/>
    </w:lvl>
  </w:abstractNum>
  <w:abstractNum w:abstractNumId="307">
    <w:nsid w:val="1F0E5D0D"/>
    <w:multiLevelType w:val="hybridMultilevel"/>
    <w:lvl w:ilvl="0">
      <w:lvlJc w:val="left"/>
      <w:lvlText w:val="%1."/>
      <w:numFmt w:val="upperLetter"/>
      <w:start w:val="9"/>
    </w:lvl>
    <w:lvl w:ilvl="1">
      <w:lvlJc w:val="left"/>
      <w:lvlText w:val="•"/>
      <w:numFmt w:val="bullet"/>
      <w:start w:val="1"/>
    </w:lvl>
  </w:abstractNum>
  <w:abstractNum w:abstractNumId="308">
    <w:nsid w:val="26BAAE9"/>
    <w:multiLevelType w:val="hybridMultilevel"/>
    <w:lvl w:ilvl="0">
      <w:lvlJc w:val="left"/>
      <w:lvlText w:val="%1."/>
      <w:numFmt w:val="upperLetter"/>
      <w:start w:val="35"/>
    </w:lvl>
    <w:lvl w:ilvl="1">
      <w:lvlJc w:val="left"/>
      <w:lvlText w:val="•"/>
      <w:numFmt w:val="bullet"/>
      <w:start w:val="1"/>
    </w:lvl>
  </w:abstractNum>
  <w:abstractNum w:abstractNumId="309">
    <w:nsid w:val="2C02FE8C"/>
    <w:multiLevelType w:val="hybridMultilevel"/>
    <w:lvl w:ilvl="0">
      <w:lvlJc w:val="left"/>
      <w:lvlText w:val="%1."/>
      <w:numFmt w:val="upperLetter"/>
      <w:start w:val="61"/>
    </w:lvl>
    <w:lvl w:ilvl="1">
      <w:lvlJc w:val="left"/>
      <w:lvlText w:val="•"/>
      <w:numFmt w:val="bullet"/>
      <w:start w:val="1"/>
    </w:lvl>
  </w:abstractNum>
  <w:abstractNum w:abstractNumId="310">
    <w:nsid w:val="129517E"/>
    <w:multiLevelType w:val="hybridMultilevel"/>
    <w:lvl w:ilvl="0">
      <w:lvlJc w:val="left"/>
      <w:lvlText w:val="•"/>
      <w:numFmt w:val="bullet"/>
      <w:start w:val="1"/>
    </w:lvl>
  </w:abstractNum>
  <w:abstractNum w:abstractNumId="311">
    <w:nsid w:val="763B8C4E"/>
    <w:multiLevelType w:val="hybridMultilevel"/>
    <w:lvl w:ilvl="0">
      <w:lvlJc w:val="left"/>
      <w:lvlText w:val="•"/>
      <w:numFmt w:val="bullet"/>
      <w:start w:val="1"/>
    </w:lvl>
  </w:abstractNum>
  <w:abstractNum w:abstractNumId="312">
    <w:nsid w:val="4CFB8D32"/>
    <w:multiLevelType w:val="hybridMultilevel"/>
    <w:lvl w:ilvl="0">
      <w:lvlJc w:val="left"/>
      <w:lvlText w:val="%1."/>
      <w:numFmt w:val="upperLetter"/>
      <w:start w:val="22"/>
    </w:lvl>
    <w:lvl w:ilvl="1">
      <w:lvlJc w:val="left"/>
      <w:lvlText w:val="•"/>
      <w:numFmt w:val="bullet"/>
      <w:start w:val="1"/>
    </w:lvl>
  </w:abstractNum>
  <w:abstractNum w:abstractNumId="313">
    <w:nsid w:val="62A5D5BD"/>
    <w:multiLevelType w:val="hybridMultilevel"/>
    <w:lvl w:ilvl="0">
      <w:lvlJc w:val="left"/>
      <w:lvlText w:val="•"/>
      <w:numFmt w:val="bullet"/>
      <w:start w:val="1"/>
    </w:lvl>
  </w:abstractNum>
  <w:abstractNum w:abstractNumId="314">
    <w:nsid w:val="718FABF9"/>
    <w:multiLevelType w:val="hybridMultilevel"/>
    <w:lvl w:ilvl="0">
      <w:lvlJc w:val="left"/>
      <w:lvlText w:val="•"/>
      <w:numFmt w:val="bullet"/>
      <w:start w:val="1"/>
    </w:lvl>
  </w:abstractNum>
  <w:abstractNum w:abstractNumId="315">
    <w:nsid w:val="7775797C"/>
    <w:multiLevelType w:val="hybridMultilevel"/>
    <w:lvl w:ilvl="0">
      <w:lvlJc w:val="left"/>
      <w:lvlText w:val="•"/>
      <w:numFmt w:val="bullet"/>
      <w:start w:val="1"/>
    </w:lvl>
  </w:abstractNum>
  <w:abstractNum w:abstractNumId="316">
    <w:nsid w:val="1626FB8C"/>
    <w:multiLevelType w:val="hybridMultilevel"/>
    <w:lvl w:ilvl="0">
      <w:lvlJc w:val="left"/>
      <w:lvlText w:val="•"/>
      <w:numFmt w:val="bullet"/>
      <w:start w:val="1"/>
    </w:lvl>
  </w:abstractNum>
  <w:abstractNum w:abstractNumId="317">
    <w:nsid w:val="3957756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jpe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jpe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jpe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jpeg"/><Relationship Id="rId1057" Type="http://schemas.openxmlformats.org/officeDocument/2006/relationships/image" Target="media/image1050.jpeg"/><Relationship Id="rId1058" Type="http://schemas.openxmlformats.org/officeDocument/2006/relationships/image" Target="media/image1051.jpeg"/><Relationship Id="rId1059" Type="http://schemas.openxmlformats.org/officeDocument/2006/relationships/image" Target="media/image1052.jpe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2019-12-15T14:36:37Z</dcterms:created>
  <dcterms:modified xsi:type="dcterms:W3CDTF">2019-12-15T14:36:37Z</dcterms:modified>
</cp:coreProperties>
</file>