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par value US$0.001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647581107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647581107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Beijing Investment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HONG KONG</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88,649,120.00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182,678,710.00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182,678,710.00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Exempt Reporting Advisor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New Oriental Education &amp; Technology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6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NO. 6 HAI DIAN ZHONG STREET, 9TH FLOOR, NO. 6 HAI DIAN ZHONG STREET, 9TH FLOOR, BEIJING, CHINA, 100080</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First Beijing Investment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right="4420"/>
        <w:spacing w:after="0" w:line="256" w:lineRule="auto"/>
        <w:rPr>
          <w:sz w:val="20"/>
          <w:szCs w:val="20"/>
          <w:color w:val="auto"/>
        </w:rPr>
      </w:pPr>
      <w:r>
        <w:rPr>
          <w:rFonts w:ascii="Times New Roman" w:cs="Times New Roman" w:eastAsia="Times New Roman" w:hAnsi="Times New Roman"/>
          <w:sz w:val="22"/>
          <w:szCs w:val="22"/>
          <w:color w:val="auto"/>
        </w:rPr>
        <w:t>16th Floor, On Building, 162 Queens Road, Central, Hong Kong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Hong Kong</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 par value US$0.001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647581107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ectPr>
          <w:pgSz w:w="11900" w:h="16838" w:orient="portrait"/>
          <w:cols w:equalWidth="0" w:num="1">
            <w:col w:w="10980"/>
          </w:cols>
          <w:pgMar w:left="320" w:top="166" w:right="5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These 182,678,710 common shares represent 89,213,700 common shares of the Issuer and 9,346,501 ADSs (each representing ten underlying common shares) of the Issuer.</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220"/>
          </w:cols>
          <w:pgMar w:left="360" w:top="111" w:right="399" w:bottom="119" w:gutter="0" w:footer="0" w:header="0"/>
        </w:sectPr>
      </w:pPr>
    </w:p>
    <w:p>
      <w:pPr>
        <w:spacing w:after="0" w:line="33" w:lineRule="exact"/>
        <w:rPr>
          <w:sz w:val="20"/>
          <w:szCs w:val="20"/>
          <w:color w:val="auto"/>
        </w:rPr>
      </w:pPr>
    </w:p>
    <w:p>
      <w:pPr>
        <w:ind w:left="920" w:right="8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11.56%. The ownership is calculated based on 1,580,288,613 common shares of the Issuer outstanding as of May 31, 2025, according to the Form 20-F filed by the Issuer with the Securities and Exchange Commission (the "SEC") on September 25,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These 88,649,120 ordinary shares represent 44,209,000 common shares of the Issuer and 4,444,012 ADSs (each representing ten underlying common shares) of the Issuer.</w:t>
      </w:r>
    </w:p>
    <w:p>
      <w:pPr>
        <w:spacing w:after="0" w:line="239"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182,678,710. Same as Item 4.(a)</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19"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119" w:gutter="0" w:footer="0" w:header="0"/>
          <w:type w:val="continuous"/>
        </w:sectPr>
      </w:pPr>
    </w:p>
    <w:bookmarkStart w:id="3" w:name="page4"/>
    <w:bookmarkEnd w:id="3"/>
    <w:p>
      <w:pPr>
        <w:ind w:left="1560"/>
        <w:spacing w:after="0"/>
        <w:rPr>
          <w:sz w:val="20"/>
          <w:szCs w:val="20"/>
          <w:color w:val="auto"/>
        </w:rPr>
      </w:pPr>
      <w:r>
        <w:rPr>
          <w:rFonts w:ascii="Times New Roman" w:cs="Times New Roman" w:eastAsia="Times New Roman" w:hAnsi="Times New Roman"/>
          <w:sz w:val="21"/>
          <w:szCs w:val="21"/>
          <w:color w:val="auto"/>
        </w:rPr>
        <w:t>First Beijing Investment Ltd</w:t>
      </w:r>
    </w:p>
    <w:p>
      <w:pPr>
        <w:spacing w:after="0" w:line="164"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 JINGWEI</w:t>
      </w:r>
    </w:p>
    <w:p>
      <w:pPr>
        <w:spacing w:after="0" w:line="4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340"/>
        <w:spacing w:after="0"/>
        <w:tabs>
          <w:tab w:leader="none" w:pos="2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2025-11-14T05:46:33Z</dcterms:created>
  <dcterms:modified xsi:type="dcterms:W3CDTF">2025-11-14T05:46:33Z</dcterms:modified>
</cp:coreProperties>
</file>