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2</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New Oriental Education &amp; Technology Group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shares, par value US$0.001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647581107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09/16/2025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647581107</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First Beijing Investment Ltd</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HONG KONG</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86,076,500.00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175,526,730.00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175,526,730.00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10.7 %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38" w:orient="portrait"/>
          <w:cols w:equalWidth="0" w:num="2">
            <w:col w:w="1100" w:space="60"/>
            <w:col w:w="9820"/>
          </w:cols>
          <w:pgMar w:left="320" w:top="166" w:right="599" w:bottom="0" w:gutter="0" w:footer="0" w:header="0"/>
        </w:sectPr>
      </w:pP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Exempt Reporting Advisor</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New Oriental Education &amp; Technology Group Inc.</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ind w:left="960" w:hanging="912"/>
        <w:spacing w:after="0" w:line="185" w:lineRule="auto"/>
        <w:tabs>
          <w:tab w:leader="none" w:pos="960" w:val="left"/>
        </w:tabs>
        <w:numPr>
          <w:ilvl w:val="0"/>
          <w:numId w:val="3"/>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NO. 6 HAI DIAN ZHONG STREET, 9TH FLOOR, NO. 6 HAI DIAN ZHONG STREET, 9TH FLOOR, BEIJING, CHINA, 100080</w:t>
      </w:r>
    </w:p>
    <w:p>
      <w:pPr>
        <w:spacing w:after="0" w:line="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First Beijing Investment Limited</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right="4420"/>
        <w:spacing w:after="0" w:line="256" w:lineRule="auto"/>
        <w:rPr>
          <w:sz w:val="20"/>
          <w:szCs w:val="20"/>
          <w:color w:val="auto"/>
        </w:rPr>
      </w:pPr>
      <w:r>
        <w:rPr>
          <w:rFonts w:ascii="Times New Roman" w:cs="Times New Roman" w:eastAsia="Times New Roman" w:hAnsi="Times New Roman"/>
          <w:sz w:val="22"/>
          <w:szCs w:val="22"/>
          <w:color w:val="auto"/>
        </w:rPr>
        <w:t>16th Floor, On Building, 162 Queens Road, Central, Hong Kong Citizenship:</w:t>
      </w:r>
    </w:p>
    <w:p>
      <w:pPr>
        <w:ind w:left="40"/>
        <w:spacing w:after="0" w:line="230" w:lineRule="auto"/>
        <w:rPr>
          <w:sz w:val="20"/>
          <w:szCs w:val="20"/>
          <w:color w:val="auto"/>
        </w:rPr>
      </w:pPr>
      <w:r>
        <w:rPr>
          <w:rFonts w:ascii="Times New Roman" w:cs="Times New Roman" w:eastAsia="Times New Roman" w:hAnsi="Times New Roman"/>
          <w:sz w:val="22"/>
          <w:szCs w:val="22"/>
          <w:color w:val="auto"/>
        </w:rPr>
        <w:t>(c)</w:t>
      </w:r>
    </w:p>
    <w:p>
      <w:pPr>
        <w:spacing w:after="0" w:line="1"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Hong Kong</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ind w:left="960"/>
        <w:spacing w:after="0"/>
        <w:rPr>
          <w:sz w:val="20"/>
          <w:szCs w:val="20"/>
          <w:color w:val="auto"/>
        </w:rPr>
      </w:pPr>
      <w:r>
        <w:rPr>
          <w:rFonts w:ascii="Times New Roman" w:cs="Times New Roman" w:eastAsia="Times New Roman" w:hAnsi="Times New Roman"/>
          <w:sz w:val="22"/>
          <w:szCs w:val="22"/>
          <w:color w:val="auto"/>
        </w:rPr>
        <w:t>common shares, par value US$0.001 per share</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ind w:left="960"/>
        <w:spacing w:after="0"/>
        <w:rPr>
          <w:sz w:val="20"/>
          <w:szCs w:val="20"/>
          <w:color w:val="auto"/>
        </w:rPr>
      </w:pPr>
      <w:r>
        <w:rPr>
          <w:rFonts w:ascii="Times New Roman" w:cs="Times New Roman" w:eastAsia="Times New Roman" w:hAnsi="Times New Roman"/>
          <w:sz w:val="22"/>
          <w:szCs w:val="22"/>
          <w:color w:val="auto"/>
        </w:rPr>
        <w:t>647581107</w:t>
      </w:r>
    </w:p>
    <w:p>
      <w:pPr>
        <w:spacing w:after="0" w:line="20"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60" w:hanging="912"/>
        <w:spacing w:after="0"/>
        <w:tabs>
          <w:tab w:leader="none" w:pos="9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ectPr>
          <w:pgSz w:w="11900" w:h="16838" w:orient="portrait"/>
          <w:cols w:equalWidth="0" w:num="1">
            <w:col w:w="10980"/>
          </w:cols>
          <w:pgMar w:left="320" w:top="166" w:right="599" w:bottom="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 w:lineRule="exact"/>
        <w:rPr>
          <w:sz w:val="20"/>
          <w:szCs w:val="20"/>
          <w:color w:val="auto"/>
        </w:rPr>
      </w:pPr>
      <w:r>
        <w:rPr>
          <w:sz w:val="20"/>
          <w:szCs w:val="20"/>
          <w:color w:val="auto"/>
        </w:rPr>
        <w:br w:type="column"/>
      </w: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680"/>
        <w:spacing w:after="0" w:line="258" w:lineRule="auto"/>
        <w:rPr>
          <w:sz w:val="20"/>
          <w:szCs w:val="20"/>
          <w:color w:val="auto"/>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1020"/>
        <w:spacing w:after="0" w:line="241" w:lineRule="auto"/>
        <w:rPr>
          <w:sz w:val="20"/>
          <w:szCs w:val="20"/>
          <w:color w:val="auto"/>
        </w:rPr>
      </w:pPr>
      <w:r>
        <w:rPr>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Group, in accordance with Rule 240.13d-1(b)(1)(ii)(K).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ind w:right="380"/>
        <w:spacing w:after="0" w:line="256" w:lineRule="auto"/>
        <w:rPr>
          <w:sz w:val="20"/>
          <w:szCs w:val="20"/>
          <w:color w:val="auto"/>
        </w:rPr>
      </w:pPr>
      <w:r>
        <w:rPr>
          <w:rFonts w:ascii="Times New Roman" w:cs="Times New Roman" w:eastAsia="Times New Roman" w:hAnsi="Times New Roman"/>
          <w:sz w:val="22"/>
          <w:szCs w:val="22"/>
          <w:color w:val="auto"/>
        </w:rPr>
        <w:t>These 175,526,730 common shares represent 85,627,100 common shares of the Issuer and 8,989,963 ADSs (each representing ten underlying common shares) of the Issuer.</w:t>
      </w:r>
    </w:p>
    <w:p>
      <w:pPr>
        <w:spacing w:after="0"/>
        <w:rPr>
          <w:sz w:val="20"/>
          <w:szCs w:val="20"/>
          <w:color w:val="auto"/>
        </w:rPr>
      </w:pPr>
      <w:r>
        <w:rPr>
          <w:rFonts w:ascii="Times New Roman" w:cs="Times New Roman" w:eastAsia="Times New Roman" w:hAnsi="Times New Roman"/>
          <w:sz w:val="22"/>
          <w:szCs w:val="22"/>
          <w:color w:val="auto"/>
        </w:rPr>
        <w:t>Percent of class:</w:t>
      </w:r>
    </w:p>
    <w:p>
      <w:pPr>
        <w:spacing w:after="0" w:line="200" w:lineRule="exact"/>
        <w:rPr>
          <w:sz w:val="20"/>
          <w:szCs w:val="20"/>
          <w:color w:val="auto"/>
        </w:rPr>
      </w:pPr>
    </w:p>
    <w:p>
      <w:pPr>
        <w:sectPr>
          <w:pgSz w:w="11900" w:h="16838" w:orient="portrait"/>
          <w:cols w:equalWidth="0" w:num="2">
            <w:col w:w="620" w:space="300"/>
            <w:col w:w="10220"/>
          </w:cols>
          <w:pgMar w:left="360" w:top="111" w:right="399" w:bottom="119" w:gutter="0" w:footer="0" w:header="0"/>
        </w:sectPr>
      </w:pPr>
    </w:p>
    <w:p>
      <w:pPr>
        <w:spacing w:after="0" w:line="33" w:lineRule="exact"/>
        <w:rPr>
          <w:sz w:val="20"/>
          <w:szCs w:val="20"/>
          <w:color w:val="auto"/>
        </w:rPr>
      </w:pPr>
    </w:p>
    <w:p>
      <w:pPr>
        <w:ind w:left="920" w:right="80" w:hanging="912"/>
        <w:spacing w:after="0" w:line="244" w:lineRule="auto"/>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10.65%. The ownership is calculated based on 1,647,514,863 common shares of the Issuer outstanding as of May 31, 2024, according to the Form 20-F filed by the Issuer with the Securities and Exchange Commission (the "SEC") on September 25, 2024. %</w:t>
      </w:r>
    </w:p>
    <w:p>
      <w:pPr>
        <w:spacing w:after="0" w:line="11"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11" w:right="399" w:bottom="119"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right="520"/>
        <w:spacing w:after="0" w:line="258" w:lineRule="auto"/>
        <w:rPr>
          <w:sz w:val="20"/>
          <w:szCs w:val="20"/>
          <w:color w:val="auto"/>
        </w:rPr>
      </w:pPr>
      <w:r>
        <w:rPr>
          <w:rFonts w:ascii="Times New Roman" w:cs="Times New Roman" w:eastAsia="Times New Roman" w:hAnsi="Times New Roman"/>
          <w:sz w:val="22"/>
          <w:szCs w:val="22"/>
          <w:color w:val="auto"/>
        </w:rPr>
        <w:t>These 86,076,500 ordinary shares represent 43,216,400 common shares of the Issuer and 4,286,010 ADSs (each representing ten underlying common shares) of the Issuer.</w:t>
      </w:r>
    </w:p>
    <w:p>
      <w:pPr>
        <w:spacing w:after="0" w:line="239" w:lineRule="exact"/>
        <w:rPr>
          <w:sz w:val="20"/>
          <w:szCs w:val="20"/>
          <w:color w:val="auto"/>
        </w:rPr>
      </w:pPr>
    </w:p>
    <w:p>
      <w:pPr>
        <w:ind w:left="320" w:hanging="314"/>
        <w:spacing w:after="0"/>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175,526,730. Same as Item 4.(a)</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38" w:orient="portrait"/>
          <w:cols w:equalWidth="0" w:num="2">
            <w:col w:w="620" w:space="300"/>
            <w:col w:w="10220"/>
          </w:cols>
          <w:pgMar w:left="360" w:top="111" w:right="399" w:bottom="119"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16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ectPr>
          <w:pgSz w:w="11900" w:h="16838" w:orient="portrait"/>
          <w:cols w:equalWidth="0" w:num="1">
            <w:col w:w="11140"/>
          </w:cols>
          <w:pgMar w:left="360" w:top="111" w:right="399" w:bottom="119" w:gutter="0" w:footer="0" w:header="0"/>
          <w:type w:val="continuous"/>
        </w:sectPr>
      </w:pPr>
    </w:p>
    <w:bookmarkStart w:id="3" w:name="page4"/>
    <w:bookmarkEnd w:id="3"/>
    <w:p>
      <w:pPr>
        <w:ind w:left="1560"/>
        <w:spacing w:after="0"/>
        <w:rPr>
          <w:sz w:val="20"/>
          <w:szCs w:val="20"/>
          <w:color w:val="auto"/>
        </w:rPr>
      </w:pPr>
      <w:r>
        <w:rPr>
          <w:rFonts w:ascii="Times New Roman" w:cs="Times New Roman" w:eastAsia="Times New Roman" w:hAnsi="Times New Roman"/>
          <w:sz w:val="21"/>
          <w:szCs w:val="21"/>
          <w:color w:val="auto"/>
        </w:rPr>
        <w:t>First Beijing Investment Ltd</w:t>
      </w:r>
    </w:p>
    <w:p>
      <w:pPr>
        <w:spacing w:after="0" w:line="164" w:lineRule="exact"/>
        <w:rPr>
          <w:sz w:val="20"/>
          <w:szCs w:val="20"/>
          <w:color w:val="auto"/>
        </w:rPr>
      </w:pPr>
    </w:p>
    <w:p>
      <w:pPr>
        <w:ind w:left="1340"/>
        <w:spacing w:after="0"/>
        <w:tabs>
          <w:tab w:leader="none" w:pos="24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LI JINGWEI</w:t>
      </w:r>
    </w:p>
    <w:p>
      <w:pPr>
        <w:spacing w:after="0" w:line="4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22"/>
          <w:szCs w:val="22"/>
          <w:color w:val="auto"/>
        </w:rPr>
        <w:t>Name/Title: DIRECTOR</w:t>
      </w:r>
    </w:p>
    <w:p>
      <w:pPr>
        <w:spacing w:after="0" w:line="44" w:lineRule="exact"/>
        <w:rPr>
          <w:sz w:val="20"/>
          <w:szCs w:val="20"/>
          <w:color w:val="auto"/>
        </w:rPr>
      </w:pPr>
    </w:p>
    <w:p>
      <w:pPr>
        <w:ind w:left="1340"/>
        <w:spacing w:after="0"/>
        <w:tabs>
          <w:tab w:leader="none" w:pos="24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09/19/2025</w:t>
      </w:r>
    </w:p>
    <w:sectPr>
      <w:pgSz w:w="11900" w:h="16838" w:orient="portrait"/>
      <w:cols w:equalWidth="0" w:num="1">
        <w:col w:w="9019"/>
      </w:cols>
      <w:pgMar w:left="1440" w:top="1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2"/>
    </w:lvl>
  </w:abstractNum>
  <w:abstractNum w:abstractNumId="3">
    <w:nsid w:val="46E87CCD"/>
    <w:multiLevelType w:val="hybridMultilevel"/>
    <w:lvl w:ilvl="0">
      <w:lvlJc w:val="left"/>
      <w:lvlText w:val="(%1)"/>
      <w:numFmt w:val="lowerLetter"/>
      <w:start w:val="1"/>
    </w:lvl>
  </w:abstractNum>
  <w:abstractNum w:abstractNumId="4">
    <w:nsid w:val="3D1B58BA"/>
    <w:multiLevelType w:val="hybridMultilevel"/>
    <w:lvl w:ilvl="0">
      <w:lvlJc w:val="left"/>
      <w:lvlText w:val="(%1)"/>
      <w:numFmt w:val="lowerLetter"/>
      <w:start w:val="2"/>
    </w:lvl>
  </w:abstractNum>
  <w:abstractNum w:abstractNumId="5">
    <w:nsid w:val="507ED7AB"/>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2025-09-19T05:49:39Z</dcterms:created>
  <dcterms:modified xsi:type="dcterms:W3CDTF">2025-09-19T05:49:39Z</dcterms:modified>
</cp:coreProperties>
</file>